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85C3BF" w14:textId="77777777" w:rsidR="009B50FD" w:rsidRPr="00B30DDD" w:rsidRDefault="009B50FD" w:rsidP="006D6707">
      <w:pPr>
        <w:jc w:val="both"/>
        <w:rPr>
          <w:rFonts w:ascii="Calibri" w:hAnsi="Calibri" w:cs="Calibri"/>
          <w:sz w:val="22"/>
          <w:szCs w:val="22"/>
          <w:u w:val="single"/>
        </w:rPr>
      </w:pPr>
    </w:p>
    <w:p w14:paraId="14B34909" w14:textId="77777777" w:rsidR="009B50FD" w:rsidRPr="00B30DDD" w:rsidRDefault="009B50FD" w:rsidP="006D6707">
      <w:pPr>
        <w:jc w:val="both"/>
        <w:rPr>
          <w:rFonts w:ascii="Calibri" w:hAnsi="Calibri" w:cs="Calibri"/>
          <w:sz w:val="22"/>
          <w:szCs w:val="22"/>
        </w:rPr>
      </w:pPr>
      <w:r w:rsidRPr="001859F8">
        <w:rPr>
          <w:rFonts w:ascii="Calibri" w:hAnsi="Calibri" w:cs="Calibri"/>
          <w:b/>
          <w:bCs/>
          <w:sz w:val="40"/>
          <w:szCs w:val="40"/>
        </w:rPr>
        <w:t>Monthly Market Commentary</w:t>
      </w:r>
      <w:r w:rsidRPr="00B30DDD">
        <w:rPr>
          <w:rFonts w:ascii="Calibri" w:hAnsi="Calibri" w:cs="Calibri"/>
          <w:sz w:val="22"/>
          <w:szCs w:val="22"/>
        </w:rPr>
        <w:t xml:space="preserve"> – 3.5.26</w:t>
      </w:r>
    </w:p>
    <w:p w14:paraId="3D059F28" w14:textId="77777777" w:rsidR="009B50FD" w:rsidRPr="001859F8" w:rsidRDefault="009B50FD" w:rsidP="006D6707">
      <w:pPr>
        <w:jc w:val="both"/>
        <w:rPr>
          <w:rFonts w:ascii="Calibri" w:hAnsi="Calibri" w:cs="Calibri"/>
          <w:b/>
          <w:bCs/>
          <w:sz w:val="22"/>
          <w:szCs w:val="22"/>
        </w:rPr>
      </w:pPr>
      <w:r w:rsidRPr="001859F8">
        <w:rPr>
          <w:rFonts w:ascii="Calibri" w:hAnsi="Calibri" w:cs="Calibri"/>
          <w:b/>
          <w:bCs/>
          <w:sz w:val="22"/>
          <w:szCs w:val="22"/>
          <w:u w:val="single"/>
        </w:rPr>
        <w:t>War in the Mideast</w:t>
      </w:r>
    </w:p>
    <w:p w14:paraId="1BB7A6E9" w14:textId="77777777" w:rsidR="009B50FD" w:rsidRPr="00B30DDD" w:rsidRDefault="009B50FD" w:rsidP="006D6707">
      <w:pPr>
        <w:jc w:val="both"/>
        <w:rPr>
          <w:rFonts w:ascii="Calibri" w:hAnsi="Calibri" w:cs="Calibri"/>
          <w:sz w:val="22"/>
          <w:szCs w:val="22"/>
        </w:rPr>
      </w:pPr>
      <w:r w:rsidRPr="00B30DDD">
        <w:rPr>
          <w:rFonts w:ascii="Calibri" w:hAnsi="Calibri" w:cs="Calibri"/>
          <w:sz w:val="22"/>
          <w:szCs w:val="22"/>
        </w:rPr>
        <w:t>The U.S. and Israel launched an attack on Iran last weekend.</w:t>
      </w:r>
    </w:p>
    <w:p w14:paraId="6F8B0944" w14:textId="77777777" w:rsidR="009B50FD" w:rsidRPr="00B30DDD" w:rsidRDefault="009B50FD" w:rsidP="006D6707">
      <w:pPr>
        <w:jc w:val="both"/>
        <w:rPr>
          <w:rFonts w:ascii="Calibri" w:hAnsi="Calibri" w:cs="Calibri"/>
          <w:sz w:val="22"/>
          <w:szCs w:val="22"/>
        </w:rPr>
      </w:pPr>
      <w:r w:rsidRPr="00B30DDD">
        <w:rPr>
          <w:rFonts w:ascii="Calibri" w:hAnsi="Calibri" w:cs="Calibri"/>
          <w:sz w:val="22"/>
          <w:szCs w:val="22"/>
        </w:rPr>
        <w:t>The U.S. did not move such a significant amount of military assets into the region to bluff. The arrival of the USS Gerald Ford aircraft carrier and F-22 Raptors were the final steps taken before the air strikes commenced on February 28</w:t>
      </w:r>
      <w:r w:rsidRPr="00B30DDD">
        <w:rPr>
          <w:rFonts w:ascii="Calibri" w:hAnsi="Calibri" w:cs="Calibri"/>
          <w:sz w:val="22"/>
          <w:szCs w:val="22"/>
          <w:vertAlign w:val="superscript"/>
        </w:rPr>
        <w:t>th</w:t>
      </w:r>
      <w:r w:rsidRPr="00B30DDD">
        <w:rPr>
          <w:rFonts w:ascii="Calibri" w:hAnsi="Calibri" w:cs="Calibri"/>
          <w:sz w:val="22"/>
          <w:szCs w:val="22"/>
        </w:rPr>
        <w:t>.</w:t>
      </w:r>
    </w:p>
    <w:p w14:paraId="43EF60A0" w14:textId="77777777" w:rsidR="009B50FD" w:rsidRPr="00B30DDD" w:rsidRDefault="009B50FD" w:rsidP="006D6707">
      <w:pPr>
        <w:jc w:val="both"/>
        <w:rPr>
          <w:rFonts w:ascii="Calibri" w:hAnsi="Calibri" w:cs="Calibri"/>
          <w:sz w:val="22"/>
          <w:szCs w:val="22"/>
        </w:rPr>
      </w:pPr>
      <w:r w:rsidRPr="00B30DDD">
        <w:rPr>
          <w:rFonts w:ascii="Calibri" w:hAnsi="Calibri" w:cs="Calibri"/>
          <w:sz w:val="22"/>
          <w:szCs w:val="22"/>
        </w:rPr>
        <w:t>President Trump detailed the history of Iran’s aggression to the U.S. and highlighted the goals of the operation, which were to: 1) prevent Iran from building a nuclear bomb, 2) destroy Iranian missiles, 3) “annihilate” the Iranian Navy, and 4) urged Iranians, at the appropriate time, to retake their government.</w:t>
      </w:r>
    </w:p>
    <w:p w14:paraId="515ABBC1" w14:textId="77777777" w:rsidR="009B50FD" w:rsidRPr="00B30DDD" w:rsidRDefault="009B50FD" w:rsidP="006D6707">
      <w:pPr>
        <w:jc w:val="both"/>
        <w:rPr>
          <w:rFonts w:ascii="Calibri" w:hAnsi="Calibri" w:cs="Calibri"/>
          <w:sz w:val="22"/>
          <w:szCs w:val="22"/>
        </w:rPr>
      </w:pPr>
      <w:r w:rsidRPr="00B30DDD">
        <w:rPr>
          <w:rFonts w:ascii="Calibri" w:hAnsi="Calibri" w:cs="Calibri"/>
          <w:sz w:val="22"/>
          <w:szCs w:val="22"/>
        </w:rPr>
        <w:t>While the elimination of Iran’s senior leadership occurred quickly, the success of this operation is not guaranteed and is fraught with risk over the next several weeks/months.</w:t>
      </w:r>
    </w:p>
    <w:p w14:paraId="20E1CEF4" w14:textId="77777777" w:rsidR="009B50FD" w:rsidRPr="00B30DDD" w:rsidRDefault="009B50FD" w:rsidP="006D6707">
      <w:pPr>
        <w:jc w:val="both"/>
        <w:rPr>
          <w:rFonts w:ascii="Calibri" w:hAnsi="Calibri" w:cs="Calibri"/>
          <w:sz w:val="22"/>
          <w:szCs w:val="22"/>
        </w:rPr>
      </w:pPr>
      <w:r w:rsidRPr="00B30DDD">
        <w:rPr>
          <w:rFonts w:ascii="Calibri" w:hAnsi="Calibri" w:cs="Calibri"/>
          <w:sz w:val="22"/>
          <w:szCs w:val="22"/>
        </w:rPr>
        <w:t>The uncertainty of war can weigh on sentiment for consumers, businesses, and investors.   prolonged conflict in the Mideast can lead to higher oil prices, stalled economic growth, rising inflation, and consequently, weakness in the financial markets.</w:t>
      </w:r>
    </w:p>
    <w:p w14:paraId="11CD3971" w14:textId="77777777" w:rsidR="009B50FD" w:rsidRPr="00B30DDD" w:rsidRDefault="009B50FD" w:rsidP="006D6707">
      <w:pPr>
        <w:jc w:val="both"/>
        <w:rPr>
          <w:rFonts w:ascii="Calibri" w:hAnsi="Calibri" w:cs="Calibri"/>
          <w:sz w:val="22"/>
          <w:szCs w:val="22"/>
        </w:rPr>
      </w:pPr>
      <w:r w:rsidRPr="00B30DDD">
        <w:rPr>
          <w:rFonts w:ascii="Calibri" w:hAnsi="Calibri" w:cs="Calibri"/>
          <w:sz w:val="22"/>
          <w:szCs w:val="22"/>
        </w:rPr>
        <w:t xml:space="preserve">Of course, the human tragedy is great on many levels. Yet </w:t>
      </w:r>
      <w:r>
        <w:rPr>
          <w:rFonts w:ascii="Calibri" w:hAnsi="Calibri" w:cs="Calibri"/>
          <w:sz w:val="22"/>
          <w:szCs w:val="22"/>
        </w:rPr>
        <w:t xml:space="preserve">as stewards of our clients’ assets, we must take an </w:t>
      </w:r>
      <w:r w:rsidRPr="00B30DDD">
        <w:rPr>
          <w:rFonts w:ascii="Calibri" w:hAnsi="Calibri" w:cs="Calibri"/>
          <w:sz w:val="22"/>
          <w:szCs w:val="22"/>
        </w:rPr>
        <w:t xml:space="preserve">objective approach, applying a combination of </w:t>
      </w:r>
      <w:r>
        <w:rPr>
          <w:rFonts w:ascii="Calibri" w:hAnsi="Calibri" w:cs="Calibri"/>
          <w:sz w:val="22"/>
          <w:szCs w:val="22"/>
        </w:rPr>
        <w:t xml:space="preserve">historical, </w:t>
      </w:r>
      <w:r w:rsidRPr="00B30DDD">
        <w:rPr>
          <w:rFonts w:ascii="Calibri" w:hAnsi="Calibri" w:cs="Calibri"/>
          <w:sz w:val="22"/>
          <w:szCs w:val="22"/>
        </w:rPr>
        <w:t xml:space="preserve">technical, </w:t>
      </w:r>
      <w:r>
        <w:rPr>
          <w:rFonts w:ascii="Calibri" w:hAnsi="Calibri" w:cs="Calibri"/>
          <w:sz w:val="22"/>
          <w:szCs w:val="22"/>
        </w:rPr>
        <w:t xml:space="preserve">and </w:t>
      </w:r>
      <w:r w:rsidRPr="00B30DDD">
        <w:rPr>
          <w:rFonts w:ascii="Calibri" w:hAnsi="Calibri" w:cs="Calibri"/>
          <w:sz w:val="22"/>
          <w:szCs w:val="22"/>
        </w:rPr>
        <w:t>fundamental analyses to best guide our clients through these challenging times.</w:t>
      </w:r>
    </w:p>
    <w:p w14:paraId="09214C84" w14:textId="77777777" w:rsidR="009B50FD" w:rsidRDefault="009B50FD" w:rsidP="006D6707">
      <w:pPr>
        <w:jc w:val="both"/>
        <w:rPr>
          <w:rFonts w:ascii="Calibri" w:hAnsi="Calibri" w:cs="Calibri"/>
          <w:sz w:val="22"/>
          <w:szCs w:val="22"/>
          <w:u w:val="single"/>
        </w:rPr>
      </w:pPr>
    </w:p>
    <w:p w14:paraId="5D811AB9" w14:textId="77777777" w:rsidR="009B50FD" w:rsidRDefault="009B50FD" w:rsidP="006D6707">
      <w:pPr>
        <w:jc w:val="both"/>
        <w:rPr>
          <w:rFonts w:ascii="Calibri" w:hAnsi="Calibri" w:cs="Calibri"/>
          <w:sz w:val="22"/>
          <w:szCs w:val="22"/>
          <w:u w:val="single"/>
        </w:rPr>
      </w:pPr>
    </w:p>
    <w:p w14:paraId="3CEB22F1" w14:textId="77777777" w:rsidR="009B50FD" w:rsidRDefault="009B50FD" w:rsidP="006D6707">
      <w:pPr>
        <w:jc w:val="both"/>
        <w:rPr>
          <w:rFonts w:ascii="Calibri" w:hAnsi="Calibri" w:cs="Calibri"/>
          <w:sz w:val="22"/>
          <w:szCs w:val="22"/>
          <w:u w:val="single"/>
        </w:rPr>
      </w:pPr>
    </w:p>
    <w:p w14:paraId="23A85B6F" w14:textId="77777777" w:rsidR="009B50FD" w:rsidRDefault="009B50FD" w:rsidP="006D6707">
      <w:pPr>
        <w:jc w:val="both"/>
        <w:rPr>
          <w:rFonts w:ascii="Calibri" w:hAnsi="Calibri" w:cs="Calibri"/>
          <w:sz w:val="22"/>
          <w:szCs w:val="22"/>
          <w:u w:val="single"/>
        </w:rPr>
      </w:pPr>
    </w:p>
    <w:p w14:paraId="0CC869AC" w14:textId="77777777" w:rsidR="009B50FD" w:rsidRDefault="009B50FD" w:rsidP="006D6707">
      <w:pPr>
        <w:jc w:val="both"/>
        <w:rPr>
          <w:rFonts w:ascii="Calibri" w:hAnsi="Calibri" w:cs="Calibri"/>
          <w:sz w:val="22"/>
          <w:szCs w:val="22"/>
          <w:u w:val="single"/>
        </w:rPr>
      </w:pPr>
    </w:p>
    <w:p w14:paraId="7F8AB5BC" w14:textId="77777777" w:rsidR="009B50FD" w:rsidRDefault="009B50FD" w:rsidP="006D6707">
      <w:pPr>
        <w:jc w:val="both"/>
        <w:rPr>
          <w:rFonts w:ascii="Calibri" w:hAnsi="Calibri" w:cs="Calibri"/>
          <w:sz w:val="22"/>
          <w:szCs w:val="22"/>
          <w:u w:val="single"/>
        </w:rPr>
      </w:pPr>
    </w:p>
    <w:p w14:paraId="076AEDBA" w14:textId="77777777" w:rsidR="009B50FD" w:rsidRDefault="009B50FD" w:rsidP="006D6707">
      <w:pPr>
        <w:jc w:val="both"/>
        <w:rPr>
          <w:rFonts w:ascii="Calibri" w:hAnsi="Calibri" w:cs="Calibri"/>
          <w:sz w:val="22"/>
          <w:szCs w:val="22"/>
          <w:u w:val="single"/>
        </w:rPr>
      </w:pPr>
    </w:p>
    <w:p w14:paraId="2C2EB8EF" w14:textId="77777777" w:rsidR="009B50FD" w:rsidRDefault="009B50FD" w:rsidP="006D6707">
      <w:pPr>
        <w:jc w:val="both"/>
        <w:rPr>
          <w:rFonts w:ascii="Calibri" w:hAnsi="Calibri" w:cs="Calibri"/>
          <w:sz w:val="22"/>
          <w:szCs w:val="22"/>
          <w:u w:val="single"/>
        </w:rPr>
      </w:pPr>
    </w:p>
    <w:p w14:paraId="177983CA" w14:textId="77777777" w:rsidR="009B50FD" w:rsidRDefault="009B50FD" w:rsidP="006D6707">
      <w:pPr>
        <w:jc w:val="both"/>
        <w:rPr>
          <w:rFonts w:ascii="Calibri" w:hAnsi="Calibri" w:cs="Calibri"/>
          <w:sz w:val="22"/>
          <w:szCs w:val="22"/>
          <w:u w:val="single"/>
        </w:rPr>
      </w:pPr>
    </w:p>
    <w:p w14:paraId="2BC1A37E" w14:textId="77777777" w:rsidR="009B50FD" w:rsidRDefault="009B50FD" w:rsidP="006D6707">
      <w:pPr>
        <w:jc w:val="both"/>
        <w:rPr>
          <w:rFonts w:ascii="Calibri" w:hAnsi="Calibri" w:cs="Calibri"/>
          <w:sz w:val="22"/>
          <w:szCs w:val="22"/>
          <w:u w:val="single"/>
        </w:rPr>
      </w:pPr>
    </w:p>
    <w:p w14:paraId="3EA9DAB6" w14:textId="77777777" w:rsidR="009B50FD" w:rsidRDefault="009B50FD" w:rsidP="006D6707">
      <w:pPr>
        <w:jc w:val="both"/>
        <w:rPr>
          <w:rFonts w:ascii="Calibri" w:hAnsi="Calibri" w:cs="Calibri"/>
          <w:sz w:val="22"/>
          <w:szCs w:val="22"/>
          <w:u w:val="single"/>
        </w:rPr>
      </w:pPr>
    </w:p>
    <w:p w14:paraId="15384BF7" w14:textId="77777777" w:rsidR="009B50FD" w:rsidRDefault="009B50FD" w:rsidP="006D6707">
      <w:pPr>
        <w:jc w:val="both"/>
        <w:rPr>
          <w:rFonts w:ascii="Calibri" w:hAnsi="Calibri" w:cs="Calibri"/>
          <w:sz w:val="22"/>
          <w:szCs w:val="22"/>
          <w:u w:val="single"/>
        </w:rPr>
      </w:pPr>
    </w:p>
    <w:p w14:paraId="2BC70006" w14:textId="77777777" w:rsidR="009B50FD" w:rsidRDefault="009B50FD" w:rsidP="006D6707">
      <w:pPr>
        <w:jc w:val="both"/>
        <w:rPr>
          <w:rFonts w:ascii="Calibri" w:hAnsi="Calibri" w:cs="Calibri"/>
          <w:sz w:val="22"/>
          <w:szCs w:val="22"/>
          <w:u w:val="single"/>
        </w:rPr>
      </w:pPr>
    </w:p>
    <w:p w14:paraId="0C58AFFD" w14:textId="77777777" w:rsidR="009B50FD" w:rsidRPr="001859F8" w:rsidRDefault="009B50FD" w:rsidP="006D6707">
      <w:pPr>
        <w:jc w:val="both"/>
        <w:rPr>
          <w:rFonts w:ascii="Calibri" w:hAnsi="Calibri" w:cs="Calibri"/>
          <w:b/>
          <w:bCs/>
          <w:sz w:val="22"/>
          <w:szCs w:val="22"/>
          <w:u w:val="single"/>
        </w:rPr>
      </w:pPr>
      <w:r w:rsidRPr="001859F8">
        <w:rPr>
          <w:rFonts w:ascii="Calibri" w:hAnsi="Calibri" w:cs="Calibri"/>
          <w:b/>
          <w:bCs/>
          <w:sz w:val="22"/>
          <w:szCs w:val="22"/>
          <w:u w:val="single"/>
        </w:rPr>
        <w:t>Market History</w:t>
      </w:r>
    </w:p>
    <w:p w14:paraId="41642D2A" w14:textId="77777777" w:rsidR="009B50FD" w:rsidRPr="00B30DDD" w:rsidRDefault="009B50FD" w:rsidP="006D6707">
      <w:pPr>
        <w:jc w:val="both"/>
        <w:rPr>
          <w:rFonts w:ascii="Calibri" w:hAnsi="Calibri" w:cs="Calibri"/>
          <w:sz w:val="22"/>
          <w:szCs w:val="22"/>
        </w:rPr>
      </w:pPr>
      <w:r w:rsidRPr="00B30DDD">
        <w:rPr>
          <w:rFonts w:ascii="Calibri" w:hAnsi="Calibri" w:cs="Calibri"/>
          <w:sz w:val="22"/>
          <w:szCs w:val="22"/>
        </w:rPr>
        <w:t>A review of fifteen “crisis events” since Pearl Harbor shows the equity market, as defined by the S&amp;P 500 Index, has displayed surprising resilience during historically difficult periods.</w:t>
      </w:r>
    </w:p>
    <w:p w14:paraId="3B257D33" w14:textId="77777777" w:rsidR="009B50FD" w:rsidRDefault="009B50FD" w:rsidP="006D6707">
      <w:pPr>
        <w:jc w:val="both"/>
        <w:rPr>
          <w:rFonts w:ascii="Calibri" w:hAnsi="Calibri" w:cs="Calibri"/>
          <w:sz w:val="22"/>
          <w:szCs w:val="22"/>
        </w:rPr>
      </w:pPr>
      <w:r w:rsidRPr="00B30DDD">
        <w:rPr>
          <w:rFonts w:ascii="Calibri" w:hAnsi="Calibri" w:cs="Calibri"/>
          <w:sz w:val="22"/>
          <w:szCs w:val="22"/>
        </w:rPr>
        <w:t xml:space="preserve">Chart </w:t>
      </w:r>
      <w:r>
        <w:rPr>
          <w:rFonts w:ascii="Calibri" w:hAnsi="Calibri" w:cs="Calibri"/>
          <w:sz w:val="22"/>
          <w:szCs w:val="22"/>
        </w:rPr>
        <w:t xml:space="preserve">1 </w:t>
      </w:r>
      <w:r w:rsidRPr="00B30DDD">
        <w:rPr>
          <w:rFonts w:ascii="Calibri" w:hAnsi="Calibri" w:cs="Calibri"/>
          <w:sz w:val="22"/>
          <w:szCs w:val="22"/>
        </w:rPr>
        <w:t>– Crisis Events and S&amp;P 500 Performance</w:t>
      </w:r>
    </w:p>
    <w:p w14:paraId="2840D84F" w14:textId="77777777" w:rsidR="009B50FD" w:rsidRPr="00B30DDD" w:rsidRDefault="009B50FD" w:rsidP="006D6707">
      <w:pPr>
        <w:jc w:val="both"/>
        <w:rPr>
          <w:rFonts w:ascii="Calibri" w:hAnsi="Calibri" w:cs="Calibri"/>
          <w:sz w:val="22"/>
          <w:szCs w:val="22"/>
        </w:rPr>
      </w:pPr>
      <w:r w:rsidRPr="008064FD">
        <w:rPr>
          <w:noProof/>
        </w:rPr>
        <w:drawing>
          <wp:inline distT="0" distB="0" distL="0" distR="0" wp14:anchorId="5D2B2535" wp14:editId="5B3F5185">
            <wp:extent cx="4254500" cy="3695700"/>
            <wp:effectExtent l="0" t="0" r="0" b="0"/>
            <wp:docPr id="5807960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54500" cy="3695700"/>
                    </a:xfrm>
                    <a:prstGeom prst="rect">
                      <a:avLst/>
                    </a:prstGeom>
                    <a:noFill/>
                    <a:ln>
                      <a:noFill/>
                    </a:ln>
                  </pic:spPr>
                </pic:pic>
              </a:graphicData>
            </a:graphic>
          </wp:inline>
        </w:drawing>
      </w:r>
    </w:p>
    <w:p w14:paraId="5AB70CD0" w14:textId="77777777" w:rsidR="009B50FD" w:rsidRPr="00B30DDD" w:rsidRDefault="009B50FD" w:rsidP="006D6707">
      <w:pPr>
        <w:jc w:val="both"/>
        <w:rPr>
          <w:rFonts w:ascii="Calibri" w:hAnsi="Calibri" w:cs="Calibri"/>
          <w:sz w:val="22"/>
          <w:szCs w:val="22"/>
        </w:rPr>
      </w:pPr>
      <w:r w:rsidRPr="00B30DDD">
        <w:rPr>
          <w:rFonts w:ascii="Calibri" w:hAnsi="Calibri" w:cs="Calibri"/>
          <w:sz w:val="22"/>
          <w:szCs w:val="22"/>
        </w:rPr>
        <w:t>While volatility intensifies during the month following the crisis’ inception, trailing 6-month and 12-month returns for the S&amp;P 500 on average are not only positive, but the Index is higher approximately two-thirds of the time over the ensuing year.</w:t>
      </w:r>
    </w:p>
    <w:p w14:paraId="3B7377A8" w14:textId="77777777" w:rsidR="009B50FD" w:rsidRPr="00B30DDD" w:rsidRDefault="009B50FD" w:rsidP="006D6707">
      <w:pPr>
        <w:jc w:val="both"/>
        <w:rPr>
          <w:rFonts w:ascii="Calibri" w:hAnsi="Calibri" w:cs="Calibri"/>
          <w:sz w:val="22"/>
          <w:szCs w:val="22"/>
        </w:rPr>
      </w:pPr>
      <w:r w:rsidRPr="00B30DDD">
        <w:rPr>
          <w:rFonts w:ascii="Calibri" w:hAnsi="Calibri" w:cs="Calibri"/>
          <w:sz w:val="22"/>
          <w:szCs w:val="22"/>
        </w:rPr>
        <w:t>The two outliers in this study are the oil embargo in 1973 and the Great Financial Crisis (GFC) beginning in 2008. It should be noted that in 1973, the U.S. was a net oil importer, therefore heavily dependent on energy flows from the Mideast. Yet in 2026, the U.S. is a net exporter, therefore far less reliant on oil imports from producers in the affected region.</w:t>
      </w:r>
    </w:p>
    <w:p w14:paraId="57C237AE" w14:textId="77777777" w:rsidR="009B50FD" w:rsidRPr="00B30DDD" w:rsidRDefault="009B50FD" w:rsidP="006D6707">
      <w:pPr>
        <w:jc w:val="both"/>
        <w:rPr>
          <w:rFonts w:ascii="Calibri" w:hAnsi="Calibri" w:cs="Calibri"/>
          <w:sz w:val="22"/>
          <w:szCs w:val="22"/>
        </w:rPr>
      </w:pPr>
      <w:r w:rsidRPr="00B30DDD">
        <w:rPr>
          <w:rFonts w:ascii="Calibri" w:hAnsi="Calibri" w:cs="Calibri"/>
          <w:sz w:val="22"/>
          <w:szCs w:val="22"/>
        </w:rPr>
        <w:t>Another point on energy is that due to the improved domestic oil production capacity, even with recent volatility, the price of WTI oil is ~$75.00 per barrel and ~$20.00 less than the average price over the past 20 years, providing a degree of buffer for gasoline prices relative to prior periods of energy price spikes.</w:t>
      </w:r>
    </w:p>
    <w:p w14:paraId="50DEEB45" w14:textId="77777777" w:rsidR="009B50FD" w:rsidRPr="00B30DDD" w:rsidRDefault="009B50FD" w:rsidP="006D6707">
      <w:pPr>
        <w:jc w:val="both"/>
        <w:rPr>
          <w:rFonts w:ascii="Calibri" w:hAnsi="Calibri" w:cs="Calibri"/>
          <w:sz w:val="22"/>
          <w:szCs w:val="22"/>
        </w:rPr>
      </w:pPr>
      <w:r w:rsidRPr="00B30DDD">
        <w:rPr>
          <w:rFonts w:ascii="Calibri" w:hAnsi="Calibri" w:cs="Calibri"/>
          <w:sz w:val="22"/>
          <w:szCs w:val="22"/>
        </w:rPr>
        <w:lastRenderedPageBreak/>
        <w:t xml:space="preserve">The other outlier for S&amp;P 500 returns was not war-related, but rather due to the financial engineering of the U.S. mortgage market that contributed to the demise of both the housing and financial markets beginning in 2008. While these causes are not comparable with today’s geopolitical tensions, the response of </w:t>
      </w:r>
      <w:r>
        <w:rPr>
          <w:rFonts w:ascii="Calibri" w:hAnsi="Calibri" w:cs="Calibri"/>
          <w:sz w:val="22"/>
          <w:szCs w:val="22"/>
        </w:rPr>
        <w:t xml:space="preserve">favorable </w:t>
      </w:r>
      <w:r w:rsidRPr="00B30DDD">
        <w:rPr>
          <w:rFonts w:ascii="Calibri" w:hAnsi="Calibri" w:cs="Calibri"/>
          <w:sz w:val="22"/>
          <w:szCs w:val="22"/>
        </w:rPr>
        <w:t>fiscal and monetary policies offer a blueprint for what may develop domestically should a prolonged Mideast conflict result.</w:t>
      </w:r>
    </w:p>
    <w:p w14:paraId="12F4A6D6" w14:textId="77777777" w:rsidR="009B50FD" w:rsidRPr="001859F8" w:rsidRDefault="009B50FD" w:rsidP="006D6707">
      <w:pPr>
        <w:jc w:val="both"/>
        <w:rPr>
          <w:rFonts w:ascii="Calibri" w:hAnsi="Calibri" w:cs="Calibri"/>
          <w:b/>
          <w:bCs/>
          <w:sz w:val="22"/>
          <w:szCs w:val="22"/>
        </w:rPr>
      </w:pPr>
      <w:r w:rsidRPr="001859F8">
        <w:rPr>
          <w:rFonts w:ascii="Calibri" w:hAnsi="Calibri" w:cs="Calibri"/>
          <w:b/>
          <w:bCs/>
          <w:sz w:val="22"/>
          <w:szCs w:val="22"/>
          <w:u w:val="single"/>
        </w:rPr>
        <w:t>Market Technicals</w:t>
      </w:r>
    </w:p>
    <w:p w14:paraId="4EB12161" w14:textId="77777777" w:rsidR="009B50FD" w:rsidRDefault="009B50FD" w:rsidP="006D6707">
      <w:pPr>
        <w:jc w:val="both"/>
        <w:rPr>
          <w:rFonts w:ascii="Calibri" w:hAnsi="Calibri" w:cs="Calibri"/>
          <w:sz w:val="22"/>
          <w:szCs w:val="22"/>
        </w:rPr>
      </w:pPr>
      <w:r>
        <w:rPr>
          <w:rFonts w:ascii="Calibri" w:hAnsi="Calibri" w:cs="Calibri"/>
          <w:sz w:val="22"/>
          <w:szCs w:val="22"/>
        </w:rPr>
        <w:t>To be sure, after three years of double-digit percentage gains, the equity market has experienced a leadership rotation from growth and mega-cap technology to value with Energy, Industrials, Materials and Consumer Staples.</w:t>
      </w:r>
    </w:p>
    <w:p w14:paraId="7C5A6492" w14:textId="77777777" w:rsidR="009B50FD" w:rsidRDefault="009B50FD" w:rsidP="006D6707">
      <w:pPr>
        <w:jc w:val="both"/>
        <w:rPr>
          <w:rFonts w:ascii="Calibri" w:hAnsi="Calibri" w:cs="Calibri"/>
          <w:sz w:val="22"/>
          <w:szCs w:val="22"/>
        </w:rPr>
      </w:pPr>
      <w:r>
        <w:rPr>
          <w:rFonts w:ascii="Calibri" w:hAnsi="Calibri" w:cs="Calibri"/>
          <w:sz w:val="22"/>
          <w:szCs w:val="22"/>
        </w:rPr>
        <w:t>In addition, the equity market, as defined by the S&amp;P 500, has been hovering in a relatively narrow range, trading between 6800 – 7000 in 2026, with new records proving elusive and as buyers emerge at the bottom of this range.</w:t>
      </w:r>
    </w:p>
    <w:p w14:paraId="32D1292E" w14:textId="77777777" w:rsidR="009B50FD" w:rsidRDefault="009B50FD" w:rsidP="006D6707">
      <w:pPr>
        <w:jc w:val="both"/>
        <w:rPr>
          <w:rFonts w:ascii="Calibri" w:hAnsi="Calibri" w:cs="Calibri"/>
          <w:sz w:val="22"/>
          <w:szCs w:val="22"/>
        </w:rPr>
      </w:pPr>
      <w:r>
        <w:rPr>
          <w:rFonts w:ascii="Calibri" w:hAnsi="Calibri" w:cs="Calibri"/>
          <w:sz w:val="22"/>
          <w:szCs w:val="22"/>
        </w:rPr>
        <w:t>Chart 2 – S&amp;P 500 Index</w:t>
      </w:r>
    </w:p>
    <w:p w14:paraId="1D25922B" w14:textId="77777777" w:rsidR="009B50FD" w:rsidRDefault="009B50FD" w:rsidP="006D6707">
      <w:pPr>
        <w:jc w:val="both"/>
        <w:rPr>
          <w:rFonts w:ascii="Calibri" w:hAnsi="Calibri" w:cs="Calibri"/>
          <w:sz w:val="22"/>
          <w:szCs w:val="22"/>
        </w:rPr>
      </w:pPr>
      <w:r>
        <w:rPr>
          <w:noProof/>
        </w:rPr>
        <w:drawing>
          <wp:inline distT="0" distB="0" distL="0" distR="0" wp14:anchorId="27275168" wp14:editId="2A6AC073">
            <wp:extent cx="4572000" cy="2743200"/>
            <wp:effectExtent l="0" t="0" r="0" b="0"/>
            <wp:docPr id="858049737" name="Chart 1">
              <a:extLst xmlns:a="http://schemas.openxmlformats.org/drawingml/2006/main">
                <a:ext uri="{FF2B5EF4-FFF2-40B4-BE49-F238E27FC236}">
                  <a16:creationId xmlns:a16="http://schemas.microsoft.com/office/drawing/2014/main" id="{BDCAD2B3-8DAA-43C8-ABA4-83C1F3704C6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456547E6" w14:textId="77777777" w:rsidR="009B50FD" w:rsidRDefault="009B50FD" w:rsidP="006D6707">
      <w:pPr>
        <w:jc w:val="both"/>
        <w:rPr>
          <w:rFonts w:ascii="Calibri" w:hAnsi="Calibri" w:cs="Calibri"/>
          <w:sz w:val="22"/>
          <w:szCs w:val="22"/>
        </w:rPr>
      </w:pPr>
      <w:r>
        <w:rPr>
          <w:rFonts w:ascii="Calibri" w:hAnsi="Calibri" w:cs="Calibri"/>
          <w:sz w:val="22"/>
          <w:szCs w:val="22"/>
        </w:rPr>
        <w:t>The resistance at the 7,000 level can be attributed to a variety of factors, but technically speaking, the Index was beginning to exhibit signs of exhaustion toward the end of 2025, with defensive leadership and a moderation in relative strength measures.  The heightened geopolitical tensions have magnified these trends, and the percentage of stocks trading above their 50-day moving average (~57%) and 200-day moving average (~63%) have been in decline during the first week in March.</w:t>
      </w:r>
    </w:p>
    <w:p w14:paraId="598418F2" w14:textId="77777777" w:rsidR="009B50FD" w:rsidRDefault="009B50FD" w:rsidP="006D6707">
      <w:pPr>
        <w:jc w:val="both"/>
        <w:rPr>
          <w:rFonts w:ascii="Calibri" w:hAnsi="Calibri" w:cs="Calibri"/>
          <w:sz w:val="22"/>
          <w:szCs w:val="22"/>
        </w:rPr>
      </w:pPr>
      <w:r>
        <w:rPr>
          <w:rFonts w:ascii="Calibri" w:hAnsi="Calibri" w:cs="Calibri"/>
          <w:sz w:val="22"/>
          <w:szCs w:val="22"/>
        </w:rPr>
        <w:t xml:space="preserve">As the equity market had grown less dependent on growth and mega-cap tech, the equal-weighted S&amp;P 500 Index closed February at a new record high. Though we expect volatility to persist in the weeks ahead, a cluster of support for the cap-weighted S&amp;P 500 hovers in the 6,500-6,600 range, which corresponds with its upward sloping 200-DMA. Should that level fail to hold during periods of </w:t>
      </w:r>
      <w:r>
        <w:rPr>
          <w:rFonts w:ascii="Calibri" w:hAnsi="Calibri" w:cs="Calibri"/>
          <w:sz w:val="22"/>
          <w:szCs w:val="22"/>
        </w:rPr>
        <w:lastRenderedPageBreak/>
        <w:t xml:space="preserve">intensified volatility, last summer’s breakout zone of 6,200 may provide longer-term support for the Index. </w:t>
      </w:r>
    </w:p>
    <w:p w14:paraId="5779483F" w14:textId="77777777" w:rsidR="009B50FD" w:rsidRPr="001859F8" w:rsidRDefault="009B50FD" w:rsidP="006D6707">
      <w:pPr>
        <w:jc w:val="both"/>
        <w:rPr>
          <w:rFonts w:ascii="Calibri" w:hAnsi="Calibri" w:cs="Calibri"/>
          <w:b/>
          <w:bCs/>
          <w:sz w:val="22"/>
          <w:szCs w:val="22"/>
        </w:rPr>
      </w:pPr>
      <w:r w:rsidRPr="001859F8">
        <w:rPr>
          <w:rFonts w:ascii="Calibri" w:hAnsi="Calibri" w:cs="Calibri"/>
          <w:b/>
          <w:bCs/>
          <w:sz w:val="22"/>
          <w:szCs w:val="22"/>
          <w:u w:val="single"/>
        </w:rPr>
        <w:t>Market Fundamentals</w:t>
      </w:r>
    </w:p>
    <w:p w14:paraId="62D56D54" w14:textId="77777777" w:rsidR="009B50FD" w:rsidRDefault="009B50FD" w:rsidP="006D6707">
      <w:pPr>
        <w:jc w:val="both"/>
        <w:rPr>
          <w:rFonts w:ascii="Calibri" w:hAnsi="Calibri" w:cs="Calibri"/>
          <w:sz w:val="22"/>
          <w:szCs w:val="22"/>
        </w:rPr>
      </w:pPr>
      <w:r>
        <w:rPr>
          <w:rFonts w:ascii="Calibri" w:hAnsi="Calibri" w:cs="Calibri"/>
          <w:sz w:val="22"/>
          <w:szCs w:val="22"/>
        </w:rPr>
        <w:t>From a macro perspective, several tailwinds may help to provide support during the current volatility.</w:t>
      </w:r>
    </w:p>
    <w:p w14:paraId="30D0248E" w14:textId="77777777" w:rsidR="009B50FD" w:rsidRPr="0054293D" w:rsidRDefault="009B50FD" w:rsidP="006D6707">
      <w:pPr>
        <w:pStyle w:val="NoSpacing"/>
        <w:jc w:val="both"/>
        <w:rPr>
          <w:rFonts w:ascii="Calibri" w:hAnsi="Calibri" w:cs="Calibri"/>
          <w:sz w:val="22"/>
          <w:szCs w:val="22"/>
        </w:rPr>
      </w:pPr>
      <w:r>
        <w:rPr>
          <w:rFonts w:ascii="Calibri" w:hAnsi="Calibri" w:cs="Calibri"/>
          <w:sz w:val="22"/>
          <w:szCs w:val="22"/>
        </w:rPr>
        <w:t>I</w:t>
      </w:r>
      <w:r w:rsidRPr="0054293D">
        <w:rPr>
          <w:rFonts w:ascii="Calibri" w:hAnsi="Calibri" w:cs="Calibri"/>
          <w:sz w:val="22"/>
          <w:szCs w:val="22"/>
        </w:rPr>
        <w:t>ndeed, the One Big Beautiful Bill Act (OBBBA) is poised to provide significant fiscal tailwinds beginning in early 2026.</w:t>
      </w:r>
    </w:p>
    <w:p w14:paraId="3C172AC9" w14:textId="77777777" w:rsidR="009B50FD" w:rsidRPr="0054293D" w:rsidRDefault="009B50FD" w:rsidP="006D6707">
      <w:pPr>
        <w:pStyle w:val="NoSpacing"/>
        <w:jc w:val="both"/>
        <w:rPr>
          <w:rFonts w:ascii="Calibri" w:hAnsi="Calibri" w:cs="Calibri"/>
          <w:sz w:val="22"/>
          <w:szCs w:val="22"/>
        </w:rPr>
      </w:pPr>
    </w:p>
    <w:p w14:paraId="5FD13AA2" w14:textId="77777777" w:rsidR="009B50FD" w:rsidRDefault="009B50FD" w:rsidP="006D6707">
      <w:pPr>
        <w:pStyle w:val="NoSpacing"/>
        <w:jc w:val="both"/>
        <w:rPr>
          <w:rFonts w:ascii="Calibri" w:hAnsi="Calibri" w:cs="Calibri"/>
          <w:sz w:val="22"/>
          <w:szCs w:val="22"/>
        </w:rPr>
      </w:pPr>
      <w:r w:rsidRPr="0054293D">
        <w:rPr>
          <w:rFonts w:ascii="Calibri" w:hAnsi="Calibri" w:cs="Calibri"/>
          <w:sz w:val="22"/>
          <w:szCs w:val="22"/>
        </w:rPr>
        <w:t>For example, over the past three years, Strategas Research Partners notes that federal tax refunds averaged ~$360 billion annually. In 2026, though, investors can expect up to a 40.0% increase (~$150 billion) to ~$515 billion in consumer tax refunds. This equates to an average individual refund growing from ~$2,250.00 in 2025 to an estimated $3,225.00 per non-farm payroll worker in 2026.</w:t>
      </w:r>
    </w:p>
    <w:p w14:paraId="78C33BFB" w14:textId="77777777" w:rsidR="009B50FD" w:rsidRDefault="009B50FD" w:rsidP="006D6707">
      <w:pPr>
        <w:pStyle w:val="NoSpacing"/>
        <w:jc w:val="both"/>
        <w:rPr>
          <w:rFonts w:ascii="Calibri" w:hAnsi="Calibri" w:cs="Calibri"/>
          <w:sz w:val="22"/>
          <w:szCs w:val="22"/>
        </w:rPr>
      </w:pPr>
    </w:p>
    <w:p w14:paraId="74E0F1EF" w14:textId="77777777" w:rsidR="009B50FD" w:rsidRDefault="009B50FD" w:rsidP="006D6707">
      <w:pPr>
        <w:pStyle w:val="NoSpacing"/>
        <w:jc w:val="both"/>
        <w:rPr>
          <w:rFonts w:ascii="Calibri" w:hAnsi="Calibri" w:cs="Calibri"/>
          <w:sz w:val="22"/>
          <w:szCs w:val="22"/>
        </w:rPr>
      </w:pPr>
      <w:r>
        <w:rPr>
          <w:rFonts w:ascii="Calibri" w:hAnsi="Calibri" w:cs="Calibri"/>
          <w:sz w:val="22"/>
          <w:szCs w:val="22"/>
        </w:rPr>
        <w:t>Chart – Federal Tax Refunds</w:t>
      </w:r>
    </w:p>
    <w:p w14:paraId="74AE5170" w14:textId="77777777" w:rsidR="009B50FD" w:rsidRDefault="009B50FD" w:rsidP="006D6707">
      <w:pPr>
        <w:pStyle w:val="NoSpacing"/>
        <w:jc w:val="both"/>
        <w:rPr>
          <w:rFonts w:ascii="Calibri" w:hAnsi="Calibri" w:cs="Calibri"/>
          <w:sz w:val="22"/>
          <w:szCs w:val="22"/>
        </w:rPr>
      </w:pPr>
    </w:p>
    <w:p w14:paraId="5E771A04" w14:textId="77777777" w:rsidR="009B50FD" w:rsidRPr="0054293D" w:rsidRDefault="009B50FD" w:rsidP="006D6707">
      <w:pPr>
        <w:pStyle w:val="NoSpacing"/>
        <w:jc w:val="both"/>
        <w:rPr>
          <w:rFonts w:ascii="Calibri" w:hAnsi="Calibri" w:cs="Calibri"/>
          <w:sz w:val="22"/>
          <w:szCs w:val="22"/>
        </w:rPr>
      </w:pPr>
      <w:r>
        <w:rPr>
          <w:noProof/>
        </w:rPr>
        <w:drawing>
          <wp:inline distT="0" distB="0" distL="0" distR="0" wp14:anchorId="5C65C20F" wp14:editId="46D2A1D3">
            <wp:extent cx="4572000" cy="2743200"/>
            <wp:effectExtent l="0" t="0" r="0" b="0"/>
            <wp:docPr id="931843277" name="Chart 1">
              <a:extLst xmlns:a="http://schemas.openxmlformats.org/drawingml/2006/main">
                <a:ext uri="{FF2B5EF4-FFF2-40B4-BE49-F238E27FC236}">
                  <a16:creationId xmlns:a16="http://schemas.microsoft.com/office/drawing/2014/main" id="{8AE5B4A0-16F2-45FE-9BC7-DA2FA29D146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A2DEDB0" w14:textId="77777777" w:rsidR="009B50FD" w:rsidRPr="0054293D" w:rsidRDefault="009B50FD" w:rsidP="006D6707">
      <w:pPr>
        <w:pStyle w:val="NoSpacing"/>
        <w:jc w:val="both"/>
        <w:rPr>
          <w:rFonts w:ascii="Calibri" w:hAnsi="Calibri" w:cs="Calibri"/>
          <w:sz w:val="22"/>
          <w:szCs w:val="22"/>
        </w:rPr>
      </w:pPr>
    </w:p>
    <w:p w14:paraId="6F04316E" w14:textId="77777777" w:rsidR="009B50FD" w:rsidRDefault="009B50FD" w:rsidP="006D6707">
      <w:pPr>
        <w:jc w:val="both"/>
        <w:rPr>
          <w:rFonts w:ascii="Calibri" w:hAnsi="Calibri" w:cs="Calibri"/>
          <w:sz w:val="22"/>
          <w:szCs w:val="22"/>
        </w:rPr>
      </w:pPr>
      <w:r w:rsidRPr="0054293D">
        <w:rPr>
          <w:rFonts w:ascii="Calibri" w:hAnsi="Calibri" w:cs="Calibri"/>
          <w:sz w:val="22"/>
          <w:szCs w:val="22"/>
        </w:rPr>
        <w:t xml:space="preserve">Moreover, businesses can expect up to $135 billion in refunds, while also benefitting from incentives like immediate </w:t>
      </w:r>
      <w:proofErr w:type="gramStart"/>
      <w:r w:rsidRPr="0054293D">
        <w:rPr>
          <w:rFonts w:ascii="Calibri" w:hAnsi="Calibri" w:cs="Calibri"/>
          <w:sz w:val="22"/>
          <w:szCs w:val="22"/>
        </w:rPr>
        <w:t>expensing</w:t>
      </w:r>
      <w:proofErr w:type="gramEnd"/>
      <w:r>
        <w:rPr>
          <w:rFonts w:ascii="Calibri" w:hAnsi="Calibri" w:cs="Calibri"/>
          <w:sz w:val="22"/>
          <w:szCs w:val="22"/>
        </w:rPr>
        <w:t xml:space="preserve"> </w:t>
      </w:r>
      <w:r w:rsidRPr="0054293D">
        <w:rPr>
          <w:rFonts w:ascii="Calibri" w:hAnsi="Calibri" w:cs="Calibri"/>
          <w:sz w:val="22"/>
          <w:szCs w:val="22"/>
        </w:rPr>
        <w:t>and reduced regulatory burdens</w:t>
      </w:r>
      <w:r>
        <w:rPr>
          <w:rFonts w:ascii="Calibri" w:hAnsi="Calibri" w:cs="Calibri"/>
          <w:sz w:val="22"/>
          <w:szCs w:val="22"/>
        </w:rPr>
        <w:t>, which should combine to support capital investment this year.</w:t>
      </w:r>
    </w:p>
    <w:p w14:paraId="0EE94785" w14:textId="77777777" w:rsidR="009B50FD" w:rsidRDefault="009B50FD" w:rsidP="006D6707">
      <w:pPr>
        <w:jc w:val="both"/>
        <w:rPr>
          <w:rFonts w:ascii="Calibri" w:hAnsi="Calibri" w:cs="Calibri"/>
          <w:sz w:val="22"/>
          <w:szCs w:val="22"/>
        </w:rPr>
      </w:pPr>
      <w:r>
        <w:rPr>
          <w:rFonts w:ascii="Calibri" w:hAnsi="Calibri" w:cs="Calibri"/>
          <w:sz w:val="22"/>
          <w:szCs w:val="22"/>
        </w:rPr>
        <w:t>In addition, monetary policy can remain supportive, even as the Federal Reserve may pause on rate cuts at their next meeting. This is because monetary officials intend to expand the Fed’s balance sheet by approximately $40 billion per month this year, essentially forcing market interest rates lower as they buy Treasury securities.  This should prove a powerful combination with tax refunds, particularly since affordability is a theme during this midterm election year.</w:t>
      </w:r>
    </w:p>
    <w:p w14:paraId="266964DA" w14:textId="77777777" w:rsidR="009B50FD" w:rsidRDefault="009B50FD" w:rsidP="006D6707">
      <w:pPr>
        <w:jc w:val="both"/>
        <w:rPr>
          <w:rFonts w:ascii="Calibri" w:hAnsi="Calibri" w:cs="Calibri"/>
          <w:sz w:val="22"/>
          <w:szCs w:val="22"/>
        </w:rPr>
      </w:pPr>
      <w:r>
        <w:rPr>
          <w:rFonts w:ascii="Calibri" w:hAnsi="Calibri" w:cs="Calibri"/>
          <w:sz w:val="22"/>
          <w:szCs w:val="22"/>
        </w:rPr>
        <w:t>Finally, corporate profits remain solid, a pattern that is forecast to continue.</w:t>
      </w:r>
    </w:p>
    <w:p w14:paraId="344EC721" w14:textId="77777777" w:rsidR="009B50FD" w:rsidRDefault="009B50FD" w:rsidP="006D6707">
      <w:pPr>
        <w:jc w:val="both"/>
        <w:rPr>
          <w:rFonts w:ascii="Calibri" w:hAnsi="Calibri" w:cs="Calibri"/>
          <w:sz w:val="22"/>
          <w:szCs w:val="22"/>
        </w:rPr>
      </w:pPr>
      <w:r>
        <w:rPr>
          <w:rFonts w:ascii="Calibri" w:hAnsi="Calibri" w:cs="Calibri"/>
          <w:sz w:val="22"/>
          <w:szCs w:val="22"/>
        </w:rPr>
        <w:lastRenderedPageBreak/>
        <w:t xml:space="preserve">FactSet reports that operating earnings for companies in the S&amp;P 500 climbed 14.2% in the fourth quarter, with consensus expectations for an additional 14.7% profit growth for the Index in 2026. </w:t>
      </w:r>
    </w:p>
    <w:p w14:paraId="4D39FEDA" w14:textId="77777777" w:rsidR="009B50FD" w:rsidRDefault="009B50FD" w:rsidP="006D6707">
      <w:pPr>
        <w:jc w:val="both"/>
        <w:rPr>
          <w:rFonts w:ascii="Calibri" w:hAnsi="Calibri" w:cs="Calibri"/>
          <w:sz w:val="22"/>
          <w:szCs w:val="22"/>
        </w:rPr>
      </w:pPr>
      <w:r w:rsidRPr="00EC3BA4">
        <w:rPr>
          <w:rFonts w:ascii="Calibri" w:hAnsi="Calibri" w:cs="Calibri"/>
          <w:color w:val="000000"/>
          <w:sz w:val="22"/>
        </w:rPr>
        <w:t>A benefit of the S&amp;P 500's range-bound trading in 2026 is that profits now have a chance to catch up with stock valuations from the past year.</w:t>
      </w:r>
      <w:r>
        <w:rPr>
          <w:rFonts w:ascii="Calibri" w:hAnsi="Calibri" w:cs="Calibri"/>
          <w:color w:val="000000"/>
          <w:sz w:val="22"/>
        </w:rPr>
        <w:t xml:space="preserve"> </w:t>
      </w:r>
      <w:r>
        <w:rPr>
          <w:rFonts w:ascii="Calibri" w:hAnsi="Calibri" w:cs="Calibri"/>
          <w:sz w:val="22"/>
          <w:szCs w:val="22"/>
        </w:rPr>
        <w:t xml:space="preserve"> This is consistent with our view that equity market gains will approximate profit growth, rather than expanded valuations, in 2026.</w:t>
      </w:r>
    </w:p>
    <w:p w14:paraId="44F2BE12" w14:textId="77777777" w:rsidR="009B50FD" w:rsidRPr="001859F8" w:rsidRDefault="009B50FD" w:rsidP="006D6707">
      <w:pPr>
        <w:jc w:val="both"/>
        <w:rPr>
          <w:rFonts w:ascii="Calibri" w:hAnsi="Calibri" w:cs="Calibri"/>
          <w:b/>
          <w:bCs/>
          <w:sz w:val="22"/>
          <w:szCs w:val="22"/>
        </w:rPr>
      </w:pPr>
      <w:r w:rsidRPr="001859F8">
        <w:rPr>
          <w:rFonts w:ascii="Calibri" w:hAnsi="Calibri" w:cs="Calibri"/>
          <w:b/>
          <w:bCs/>
          <w:sz w:val="22"/>
          <w:szCs w:val="22"/>
          <w:u w:val="single"/>
        </w:rPr>
        <w:t>Conclusion</w:t>
      </w:r>
    </w:p>
    <w:p w14:paraId="2F72A051" w14:textId="77777777" w:rsidR="009B50FD" w:rsidRDefault="009B50FD" w:rsidP="006D6707">
      <w:pPr>
        <w:jc w:val="both"/>
        <w:rPr>
          <w:rFonts w:ascii="Calibri" w:hAnsi="Calibri" w:cs="Calibri"/>
          <w:sz w:val="22"/>
          <w:szCs w:val="22"/>
        </w:rPr>
      </w:pPr>
      <w:r>
        <w:rPr>
          <w:rFonts w:ascii="Calibri" w:hAnsi="Calibri" w:cs="Calibri"/>
          <w:sz w:val="22"/>
          <w:szCs w:val="22"/>
        </w:rPr>
        <w:t>While the rise in geopolitical tensions and war in the Mideast are troubling developments, we believe it is important for investors to adhere to their longer-term strategic asset allocations during periods of heightened market volatility.</w:t>
      </w:r>
    </w:p>
    <w:p w14:paraId="5B7D0CDB" w14:textId="77777777" w:rsidR="009B50FD" w:rsidRDefault="009B50FD" w:rsidP="006D6707">
      <w:pPr>
        <w:jc w:val="both"/>
        <w:rPr>
          <w:rFonts w:ascii="Calibri" w:hAnsi="Calibri" w:cs="Calibri"/>
          <w:sz w:val="22"/>
          <w:szCs w:val="22"/>
        </w:rPr>
      </w:pPr>
      <w:r>
        <w:rPr>
          <w:rFonts w:ascii="Calibri" w:hAnsi="Calibri" w:cs="Calibri"/>
          <w:sz w:val="22"/>
          <w:szCs w:val="22"/>
        </w:rPr>
        <w:t>To be sure, there is strong historical data supporting “time in” the markets, rather than “timing” the markets. Since the onset of WWII, previous crises have been met with initial volatility, only for markets to stabilize in the ensuing months. The current technical backdrop offers several areas of support for the equity market, as the S&amp;P 500 Index has broadened participation and expanded its leadership in recent months. Fundamentals are also supportive, with tax refunds, market interest rates, and corporate profits all headed in favorable directions.</w:t>
      </w:r>
    </w:p>
    <w:p w14:paraId="676307B2" w14:textId="77777777" w:rsidR="009B50FD" w:rsidRPr="00714064" w:rsidRDefault="009B50FD" w:rsidP="006D6707">
      <w:pPr>
        <w:jc w:val="both"/>
        <w:rPr>
          <w:rFonts w:ascii="Calibri" w:hAnsi="Calibri" w:cs="Calibri"/>
          <w:sz w:val="22"/>
          <w:szCs w:val="22"/>
        </w:rPr>
      </w:pPr>
      <w:r>
        <w:rPr>
          <w:rFonts w:ascii="Calibri" w:hAnsi="Calibri" w:cs="Calibri"/>
          <w:sz w:val="22"/>
          <w:szCs w:val="22"/>
        </w:rPr>
        <w:t xml:space="preserve"> </w:t>
      </w:r>
    </w:p>
    <w:p w14:paraId="7E86BBB5" w14:textId="2EEB48F6" w:rsidR="00AF2869" w:rsidRDefault="00AF2869" w:rsidP="006D6707">
      <w:pPr>
        <w:spacing w:before="120" w:after="120"/>
        <w:jc w:val="both"/>
      </w:pPr>
    </w:p>
    <w:p w14:paraId="11DC0AD7" w14:textId="15BAB0FD" w:rsidR="00AF2869" w:rsidRDefault="00AF2869" w:rsidP="006D6707">
      <w:pPr>
        <w:spacing w:before="120" w:after="120"/>
        <w:jc w:val="both"/>
      </w:pPr>
    </w:p>
    <w:p w14:paraId="419885CA" w14:textId="77777777" w:rsidR="00AF2869" w:rsidRDefault="00F36BB2" w:rsidP="006D6707">
      <w:pPr>
        <w:spacing w:before="120" w:after="120" w:line="336" w:lineRule="auto"/>
        <w:jc w:val="both"/>
      </w:pPr>
      <w:r>
        <w:rPr>
          <w:rFonts w:ascii="Canva Sans" w:eastAsia="Canva Sans" w:hAnsi="Canva Sans" w:cs="Canva Sans"/>
          <w:color w:val="000000"/>
        </w:rPr>
        <w:t xml:space="preserve"> </w:t>
      </w:r>
    </w:p>
    <w:p w14:paraId="13516C41" w14:textId="77777777" w:rsidR="00AF2869" w:rsidRDefault="00F36BB2" w:rsidP="006D6707">
      <w:pPr>
        <w:spacing w:before="120" w:after="120" w:line="336" w:lineRule="auto"/>
        <w:jc w:val="both"/>
      </w:pPr>
      <w:r>
        <w:rPr>
          <w:rFonts w:ascii="Canva Sans" w:eastAsia="Canva Sans" w:hAnsi="Canva Sans" w:cs="Canva Sans"/>
          <w:color w:val="000000"/>
        </w:rPr>
        <w:t xml:space="preserve"> </w:t>
      </w:r>
    </w:p>
    <w:p w14:paraId="35B2B33C" w14:textId="77777777" w:rsidR="00AF2869" w:rsidRDefault="00F36BB2" w:rsidP="006D6707">
      <w:pPr>
        <w:spacing w:before="120" w:after="120" w:line="336" w:lineRule="auto"/>
        <w:jc w:val="both"/>
      </w:pPr>
      <w:r>
        <w:rPr>
          <w:rFonts w:ascii="Canva Sans" w:eastAsia="Canva Sans" w:hAnsi="Canva Sans" w:cs="Canva Sans"/>
          <w:color w:val="000000"/>
        </w:rPr>
        <w:t xml:space="preserve"> </w:t>
      </w:r>
    </w:p>
    <w:p w14:paraId="2392D26D" w14:textId="77777777" w:rsidR="00AF2869" w:rsidRDefault="00F36BB2" w:rsidP="006D6707">
      <w:pPr>
        <w:spacing w:before="120" w:after="120" w:line="336" w:lineRule="auto"/>
        <w:jc w:val="both"/>
      </w:pPr>
      <w:r>
        <w:rPr>
          <w:rFonts w:ascii="Arimo" w:eastAsia="Arimo" w:hAnsi="Arimo" w:cs="Arimo"/>
          <w:color w:val="000000"/>
        </w:rPr>
        <w:t xml:space="preserve"> </w:t>
      </w:r>
    </w:p>
    <w:p w14:paraId="529F59F7" w14:textId="77777777" w:rsidR="00AF2869" w:rsidRDefault="00F36BB2" w:rsidP="006D6707">
      <w:pPr>
        <w:spacing w:before="120" w:after="120" w:line="336" w:lineRule="auto"/>
        <w:jc w:val="both"/>
      </w:pPr>
      <w:r>
        <w:rPr>
          <w:rFonts w:ascii="Canva Sans" w:eastAsia="Canva Sans" w:hAnsi="Canva Sans" w:cs="Canva Sans"/>
          <w:color w:val="000000"/>
        </w:rPr>
        <w:t xml:space="preserve"> </w:t>
      </w:r>
    </w:p>
    <w:p w14:paraId="464B45AD" w14:textId="77777777" w:rsidR="00AF2869" w:rsidRDefault="00F36BB2" w:rsidP="006D6707">
      <w:pPr>
        <w:spacing w:before="120" w:after="120" w:line="336" w:lineRule="auto"/>
        <w:jc w:val="both"/>
      </w:pPr>
      <w:r>
        <w:rPr>
          <w:rFonts w:ascii="Arimo" w:eastAsia="Arimo" w:hAnsi="Arimo" w:cs="Arimo"/>
          <w:color w:val="000000"/>
        </w:rPr>
        <w:t xml:space="preserve"> </w:t>
      </w:r>
    </w:p>
    <w:p w14:paraId="50BCDBBB" w14:textId="77777777" w:rsidR="00AF2869" w:rsidRDefault="00F36BB2" w:rsidP="006D6707">
      <w:pPr>
        <w:spacing w:before="120" w:after="120" w:line="336" w:lineRule="auto"/>
        <w:jc w:val="both"/>
      </w:pPr>
      <w:r>
        <w:rPr>
          <w:rFonts w:ascii="Arimo" w:eastAsia="Arimo" w:hAnsi="Arimo" w:cs="Arimo"/>
          <w:color w:val="000000"/>
        </w:rPr>
        <w:t xml:space="preserve"> </w:t>
      </w:r>
    </w:p>
    <w:p w14:paraId="7846859F" w14:textId="77777777" w:rsidR="00AF2869" w:rsidRDefault="00F36BB2" w:rsidP="006D6707">
      <w:pPr>
        <w:spacing w:before="120" w:after="120" w:line="336" w:lineRule="auto"/>
        <w:jc w:val="both"/>
      </w:pPr>
      <w:r>
        <w:rPr>
          <w:rFonts w:ascii="Arimo" w:eastAsia="Arimo" w:hAnsi="Arimo" w:cs="Arimo"/>
          <w:color w:val="000000"/>
        </w:rPr>
        <w:t xml:space="preserve"> </w:t>
      </w:r>
    </w:p>
    <w:p w14:paraId="44812C28" w14:textId="77777777" w:rsidR="00AF2869" w:rsidRDefault="00F36BB2" w:rsidP="006D6707">
      <w:pPr>
        <w:spacing w:before="120" w:after="120" w:line="336" w:lineRule="auto"/>
        <w:jc w:val="both"/>
      </w:pPr>
      <w:r>
        <w:rPr>
          <w:rFonts w:ascii="Arimo" w:eastAsia="Arimo" w:hAnsi="Arimo" w:cs="Arimo"/>
          <w:color w:val="000000"/>
        </w:rPr>
        <w:t xml:space="preserve"> </w:t>
      </w:r>
    </w:p>
    <w:p w14:paraId="2A87DD10" w14:textId="77777777" w:rsidR="00AF2869" w:rsidRDefault="00F36BB2" w:rsidP="006D6707">
      <w:pPr>
        <w:spacing w:before="120" w:after="120" w:line="336" w:lineRule="auto"/>
        <w:jc w:val="both"/>
      </w:pPr>
      <w:r>
        <w:rPr>
          <w:rFonts w:ascii="Arimo" w:eastAsia="Arimo" w:hAnsi="Arimo" w:cs="Arimo"/>
          <w:color w:val="000000"/>
        </w:rPr>
        <w:t xml:space="preserve"> </w:t>
      </w:r>
    </w:p>
    <w:p w14:paraId="3938832F" w14:textId="77777777" w:rsidR="00AF2869" w:rsidRDefault="00F36BB2" w:rsidP="006D6707">
      <w:pPr>
        <w:spacing w:before="120" w:after="120" w:line="336" w:lineRule="auto"/>
        <w:jc w:val="both"/>
      </w:pPr>
      <w:r>
        <w:rPr>
          <w:rFonts w:ascii="Arimo" w:eastAsia="Arimo" w:hAnsi="Arimo" w:cs="Arimo"/>
          <w:color w:val="000000"/>
        </w:rPr>
        <w:t xml:space="preserve"> </w:t>
      </w:r>
    </w:p>
    <w:p w14:paraId="480D69C8" w14:textId="77777777" w:rsidR="00AF2869" w:rsidRDefault="00F36BB2" w:rsidP="006D6707">
      <w:pPr>
        <w:spacing w:before="120" w:after="120" w:line="336" w:lineRule="auto"/>
        <w:jc w:val="both"/>
      </w:pPr>
      <w:r>
        <w:rPr>
          <w:rFonts w:ascii="Arimo" w:eastAsia="Arimo" w:hAnsi="Arimo" w:cs="Arimo"/>
          <w:color w:val="000000"/>
        </w:rPr>
        <w:lastRenderedPageBreak/>
        <w:t xml:space="preserve"> </w:t>
      </w:r>
    </w:p>
    <w:p w14:paraId="459FF0FA" w14:textId="77777777" w:rsidR="00AF2869" w:rsidRDefault="00F36BB2" w:rsidP="006D6707">
      <w:pPr>
        <w:spacing w:before="120" w:after="120" w:line="336" w:lineRule="auto"/>
        <w:jc w:val="both"/>
      </w:pPr>
      <w:r>
        <w:rPr>
          <w:rFonts w:ascii="Arimo" w:eastAsia="Arimo" w:hAnsi="Arimo" w:cs="Arimo"/>
          <w:color w:val="000000"/>
        </w:rPr>
        <w:t xml:space="preserve"> </w:t>
      </w:r>
    </w:p>
    <w:p w14:paraId="23EC8010" w14:textId="77777777" w:rsidR="00AF2869" w:rsidRDefault="00F36BB2" w:rsidP="006D6707">
      <w:pPr>
        <w:spacing w:before="120" w:after="120" w:line="336" w:lineRule="auto"/>
        <w:jc w:val="both"/>
      </w:pPr>
      <w:r>
        <w:rPr>
          <w:rFonts w:ascii="Arimo" w:eastAsia="Arimo" w:hAnsi="Arimo" w:cs="Arimo"/>
          <w:color w:val="000000"/>
        </w:rPr>
        <w:t xml:space="preserve"> </w:t>
      </w:r>
    </w:p>
    <w:p w14:paraId="42F9A61A" w14:textId="77777777" w:rsidR="00AF2869" w:rsidRDefault="00F36BB2" w:rsidP="006D6707">
      <w:pPr>
        <w:spacing w:before="120" w:after="120" w:line="336" w:lineRule="auto"/>
        <w:jc w:val="both"/>
      </w:pPr>
      <w:r>
        <w:rPr>
          <w:rFonts w:ascii="Arimo" w:eastAsia="Arimo" w:hAnsi="Arimo" w:cs="Arimo"/>
          <w:color w:val="000000"/>
        </w:rPr>
        <w:t xml:space="preserve"> </w:t>
      </w:r>
    </w:p>
    <w:p w14:paraId="7E660770" w14:textId="77777777" w:rsidR="00AF2869" w:rsidRDefault="00F36BB2" w:rsidP="006D6707">
      <w:pPr>
        <w:spacing w:before="120" w:after="120" w:line="336" w:lineRule="auto"/>
        <w:jc w:val="both"/>
      </w:pPr>
      <w:r>
        <w:rPr>
          <w:rFonts w:ascii="Arimo" w:eastAsia="Arimo" w:hAnsi="Arimo" w:cs="Arimo"/>
          <w:color w:val="000000"/>
        </w:rPr>
        <w:t xml:space="preserve"> </w:t>
      </w:r>
    </w:p>
    <w:p w14:paraId="2B384548" w14:textId="77777777" w:rsidR="00AF2869" w:rsidRDefault="00F36BB2" w:rsidP="006D6707">
      <w:pPr>
        <w:spacing w:before="120" w:after="120" w:line="336" w:lineRule="auto"/>
        <w:jc w:val="both"/>
      </w:pPr>
      <w:r>
        <w:rPr>
          <w:rFonts w:ascii="Arimo" w:eastAsia="Arimo" w:hAnsi="Arimo" w:cs="Arimo"/>
          <w:color w:val="000000"/>
        </w:rPr>
        <w:t xml:space="preserve"> </w:t>
      </w:r>
    </w:p>
    <w:p w14:paraId="28C69CB8" w14:textId="77777777" w:rsidR="00AF2869" w:rsidRDefault="00F36BB2" w:rsidP="006D6707">
      <w:pPr>
        <w:spacing w:before="120" w:after="120" w:line="336" w:lineRule="auto"/>
        <w:jc w:val="both"/>
      </w:pPr>
      <w:r>
        <w:rPr>
          <w:rFonts w:ascii="Arimo" w:eastAsia="Arimo" w:hAnsi="Arimo" w:cs="Arimo"/>
          <w:color w:val="000000"/>
        </w:rPr>
        <w:t xml:space="preserve"> </w:t>
      </w:r>
    </w:p>
    <w:p w14:paraId="66771635" w14:textId="77777777" w:rsidR="00AF2869" w:rsidRDefault="00F36BB2" w:rsidP="006D6707">
      <w:pPr>
        <w:spacing w:before="120" w:after="120" w:line="336" w:lineRule="auto"/>
        <w:jc w:val="both"/>
      </w:pPr>
      <w:r>
        <w:rPr>
          <w:rFonts w:ascii="Arimo" w:eastAsia="Arimo" w:hAnsi="Arimo" w:cs="Arimo"/>
          <w:color w:val="000000"/>
        </w:rPr>
        <w:t xml:space="preserve"> </w:t>
      </w:r>
    </w:p>
    <w:p w14:paraId="019BE785" w14:textId="77777777" w:rsidR="00AF2869" w:rsidRDefault="00F36BB2" w:rsidP="006D6707">
      <w:pPr>
        <w:spacing w:before="120" w:after="120" w:line="336" w:lineRule="auto"/>
        <w:jc w:val="both"/>
      </w:pPr>
      <w:r>
        <w:rPr>
          <w:rFonts w:ascii="Arimo" w:eastAsia="Arimo" w:hAnsi="Arimo" w:cs="Arimo"/>
          <w:color w:val="000000"/>
        </w:rPr>
        <w:t xml:space="preserve"> </w:t>
      </w:r>
    </w:p>
    <w:p w14:paraId="550D7AE2" w14:textId="77777777" w:rsidR="00AF2869" w:rsidRDefault="00F36BB2" w:rsidP="006D6707">
      <w:pPr>
        <w:spacing w:before="120" w:after="120" w:line="336" w:lineRule="auto"/>
        <w:jc w:val="both"/>
      </w:pPr>
      <w:r>
        <w:rPr>
          <w:rFonts w:ascii="Arimo" w:eastAsia="Arimo" w:hAnsi="Arimo" w:cs="Arimo"/>
          <w:color w:val="000000"/>
        </w:rPr>
        <w:t xml:space="preserve"> </w:t>
      </w:r>
    </w:p>
    <w:p w14:paraId="01301855" w14:textId="77777777" w:rsidR="00AF2869" w:rsidRDefault="00F36BB2" w:rsidP="006D6707">
      <w:pPr>
        <w:spacing w:before="120" w:after="120" w:line="336" w:lineRule="auto"/>
        <w:jc w:val="both"/>
      </w:pPr>
      <w:r>
        <w:rPr>
          <w:rFonts w:ascii="Arimo" w:eastAsia="Arimo" w:hAnsi="Arimo" w:cs="Arimo"/>
          <w:color w:val="000000"/>
        </w:rPr>
        <w:t xml:space="preserve"> </w:t>
      </w:r>
    </w:p>
    <w:p w14:paraId="2D2226DC" w14:textId="77777777" w:rsidR="00AF2869" w:rsidRDefault="00F36BB2" w:rsidP="006D6707">
      <w:pPr>
        <w:spacing w:before="120" w:after="120" w:line="336" w:lineRule="auto"/>
        <w:jc w:val="both"/>
      </w:pPr>
      <w:r>
        <w:rPr>
          <w:rFonts w:ascii="Arimo" w:eastAsia="Arimo" w:hAnsi="Arimo" w:cs="Arimo"/>
          <w:color w:val="000000"/>
        </w:rPr>
        <w:t xml:space="preserve"> </w:t>
      </w:r>
    </w:p>
    <w:p w14:paraId="12397F52" w14:textId="77777777" w:rsidR="00AF2869" w:rsidRDefault="00F36BB2" w:rsidP="006D6707">
      <w:pPr>
        <w:spacing w:before="120" w:after="120" w:line="336" w:lineRule="auto"/>
        <w:jc w:val="both"/>
      </w:pPr>
      <w:r>
        <w:rPr>
          <w:rFonts w:ascii="Canva Sans" w:eastAsia="Canva Sans" w:hAnsi="Canva Sans" w:cs="Canva Sans"/>
          <w:color w:val="000000"/>
        </w:rPr>
        <w:t xml:space="preserve"> </w:t>
      </w:r>
    </w:p>
    <w:p w14:paraId="42D63103" w14:textId="77777777" w:rsidR="00AF2869" w:rsidRDefault="00F36BB2" w:rsidP="006D6707">
      <w:pPr>
        <w:spacing w:before="120" w:after="120" w:line="336" w:lineRule="auto"/>
        <w:jc w:val="both"/>
      </w:pPr>
      <w:r>
        <w:rPr>
          <w:rFonts w:ascii="Arimo" w:eastAsia="Arimo" w:hAnsi="Arimo" w:cs="Arimo"/>
          <w:color w:val="000000"/>
        </w:rPr>
        <w:t xml:space="preserve"> </w:t>
      </w:r>
    </w:p>
    <w:p w14:paraId="2E231579" w14:textId="36248837" w:rsidR="00AF2869" w:rsidRDefault="00AF2869" w:rsidP="006D6707">
      <w:pPr>
        <w:spacing w:before="120" w:after="120"/>
        <w:jc w:val="both"/>
      </w:pPr>
    </w:p>
    <w:p w14:paraId="12FB88DE" w14:textId="798940C4" w:rsidR="00AF2869" w:rsidRDefault="00AF2869" w:rsidP="006D6707">
      <w:pPr>
        <w:spacing w:before="120" w:after="120" w:line="336" w:lineRule="auto"/>
        <w:jc w:val="both"/>
      </w:pPr>
    </w:p>
    <w:sectPr w:rsidR="00AF2869" w:rsidSect="00384B40">
      <w:headerReference w:type="default" r:id="rId9"/>
      <w:footerReference w:type="even" r:id="rId10"/>
      <w:footerReference w:type="default" r:id="rId11"/>
      <w:pgSz w:w="11910" w:h="16845"/>
      <w:pgMar w:top="1440" w:right="1440" w:bottom="1814"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6D792C" w14:textId="77777777" w:rsidR="00FF1C73" w:rsidRDefault="00FF1C73" w:rsidP="00804130">
      <w:pPr>
        <w:spacing w:after="0" w:line="240" w:lineRule="auto"/>
      </w:pPr>
      <w:r>
        <w:separator/>
      </w:r>
    </w:p>
  </w:endnote>
  <w:endnote w:type="continuationSeparator" w:id="0">
    <w:p w14:paraId="05D26CBD" w14:textId="77777777" w:rsidR="00FF1C73" w:rsidRDefault="00FF1C73" w:rsidP="008041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embedRegular r:id="rId1" w:fontKey="{67F40922-893C-4F88-9A18-C1665F21D8B8}"/>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6A9F2119-7F1F-4127-8FF2-8E604401306C}"/>
    <w:embedBold r:id="rId3" w:fontKey="{CC414087-28D6-4666-B495-3C2D2C7E4DC4}"/>
  </w:font>
  <w:font w:name="Canva Sans">
    <w:altName w:val="Calibri"/>
    <w:charset w:val="00"/>
    <w:family w:val="auto"/>
    <w:pitch w:val="default"/>
  </w:font>
  <w:font w:name="Arimo">
    <w:altName w:val="Calibri"/>
    <w:charset w:val="00"/>
    <w:family w:val="auto"/>
    <w:pitch w:val="default"/>
  </w:font>
  <w:font w:name="Aptos Display">
    <w:charset w:val="00"/>
    <w:family w:val="swiss"/>
    <w:pitch w:val="variable"/>
    <w:sig w:usb0="20000287" w:usb1="00000003" w:usb2="00000000" w:usb3="00000000" w:csb0="0000019F" w:csb1="00000000"/>
    <w:embedRegular r:id="rId4" w:fontKey="{D0C8E103-B529-421B-9AF6-7D6D728401F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92026807"/>
      <w:docPartObj>
        <w:docPartGallery w:val="Page Numbers (Bottom of Page)"/>
        <w:docPartUnique/>
      </w:docPartObj>
    </w:sdtPr>
    <w:sdtContent>
      <w:p w14:paraId="061BAAC4" w14:textId="43FD23E9" w:rsidR="00804130" w:rsidRDefault="00804130" w:rsidP="003F572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EE834EF" w14:textId="77777777" w:rsidR="00804130" w:rsidRDefault="00804130" w:rsidP="0080413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63104188"/>
      <w:docPartObj>
        <w:docPartGallery w:val="Page Numbers (Bottom of Page)"/>
        <w:docPartUnique/>
      </w:docPartObj>
    </w:sdtPr>
    <w:sdtContent>
      <w:p w14:paraId="3D2F3F30" w14:textId="29225610" w:rsidR="00804130" w:rsidRDefault="00804130" w:rsidP="003F5729">
        <w:pPr>
          <w:pStyle w:val="Footer"/>
          <w:framePr w:wrap="none" w:vAnchor="text" w:hAnchor="margin" w:xAlign="right" w:y="1"/>
          <w:rPr>
            <w:rStyle w:val="PageNumber"/>
          </w:rPr>
        </w:pPr>
        <w:r w:rsidRPr="00804130">
          <w:rPr>
            <w:rStyle w:val="PageNumber"/>
            <w:rFonts w:ascii="Times New Roman" w:hAnsi="Times New Roman" w:cs="Times New Roman"/>
          </w:rPr>
          <w:fldChar w:fldCharType="begin"/>
        </w:r>
        <w:r w:rsidRPr="00804130">
          <w:rPr>
            <w:rStyle w:val="PageNumber"/>
            <w:rFonts w:ascii="Times New Roman" w:hAnsi="Times New Roman" w:cs="Times New Roman"/>
          </w:rPr>
          <w:instrText xml:space="preserve"> PAGE </w:instrText>
        </w:r>
        <w:r w:rsidRPr="00804130">
          <w:rPr>
            <w:rStyle w:val="PageNumber"/>
            <w:rFonts w:ascii="Times New Roman" w:hAnsi="Times New Roman" w:cs="Times New Roman"/>
          </w:rPr>
          <w:fldChar w:fldCharType="separate"/>
        </w:r>
        <w:r w:rsidRPr="00804130">
          <w:rPr>
            <w:rStyle w:val="PageNumber"/>
            <w:rFonts w:ascii="Times New Roman" w:hAnsi="Times New Roman" w:cs="Times New Roman"/>
            <w:noProof/>
          </w:rPr>
          <w:t>1</w:t>
        </w:r>
        <w:r w:rsidRPr="00804130">
          <w:rPr>
            <w:rStyle w:val="PageNumber"/>
            <w:rFonts w:ascii="Times New Roman" w:hAnsi="Times New Roman" w:cs="Times New Roman"/>
          </w:rPr>
          <w:fldChar w:fldCharType="end"/>
        </w:r>
      </w:p>
    </w:sdtContent>
  </w:sdt>
  <w:p w14:paraId="51E4D707" w14:textId="29C2406B" w:rsidR="00804130" w:rsidRPr="00804130" w:rsidRDefault="00384B40" w:rsidP="00804130">
    <w:pPr>
      <w:spacing w:before="120" w:after="120" w:line="336" w:lineRule="auto"/>
      <w:ind w:right="360"/>
    </w:pPr>
    <w:r>
      <w:rPr>
        <w:noProof/>
      </w:rPr>
      <mc:AlternateContent>
        <mc:Choice Requires="wps">
          <w:drawing>
            <wp:anchor distT="0" distB="0" distL="114300" distR="114300" simplePos="0" relativeHeight="251661312" behindDoc="0" locked="0" layoutInCell="1" allowOverlap="1" wp14:anchorId="1C2E15E6" wp14:editId="2B51D6CE">
              <wp:simplePos x="0" y="0"/>
              <wp:positionH relativeFrom="column">
                <wp:posOffset>-1323975</wp:posOffset>
              </wp:positionH>
              <wp:positionV relativeFrom="paragraph">
                <wp:posOffset>-71755</wp:posOffset>
              </wp:positionV>
              <wp:extent cx="8124497" cy="0"/>
              <wp:effectExtent l="0" t="12700" r="16510" b="12700"/>
              <wp:wrapNone/>
              <wp:docPr id="790317173" name="Straight Connector 2"/>
              <wp:cNvGraphicFramePr/>
              <a:graphic xmlns:a="http://schemas.openxmlformats.org/drawingml/2006/main">
                <a:graphicData uri="http://schemas.microsoft.com/office/word/2010/wordprocessingShape">
                  <wps:wsp>
                    <wps:cNvCnPr/>
                    <wps:spPr>
                      <a:xfrm>
                        <a:off x="0" y="0"/>
                        <a:ext cx="8124497" cy="0"/>
                      </a:xfrm>
                      <a:prstGeom prst="line">
                        <a:avLst/>
                      </a:prstGeom>
                      <a:ln w="22225">
                        <a:solidFill>
                          <a:schemeClr val="bg2">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BD7939D" id="Straight Connector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04.25pt,-5.65pt" to="535.45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" strokecolor="#737373 [1614]" strokeweight="1.75pt">
              <v:stroke joinstyle="miter"/>
            </v:line>
          </w:pict>
        </mc:Fallback>
      </mc:AlternateContent>
    </w:r>
    <w:r w:rsidR="00804130" w:rsidRPr="00804130">
      <w:ptab w:relativeTo="margin" w:alignment="center" w:leader="none"/>
    </w:r>
    <w:r w:rsidR="00804130" w:rsidRPr="00804130">
      <w:rPr>
        <w:rFonts w:ascii="Arimo" w:eastAsia="Arimo" w:hAnsi="Arimo" w:cs="Arimo"/>
        <w:color w:val="000000"/>
      </w:rPr>
      <w:t xml:space="preserve"> </w:t>
    </w:r>
    <w:r w:rsidR="00804130" w:rsidRPr="00804130">
      <w:rPr>
        <w:rFonts w:ascii="Times New Roman" w:eastAsia="Arimo" w:hAnsi="Times New Roman" w:cs="Times New Roman"/>
        <w:color w:val="000000"/>
      </w:rPr>
      <w:t>Lynchpin Market Strategy, LLC</w:t>
    </w:r>
    <w:r w:rsidR="00804130" w:rsidRPr="00804130">
      <w:rPr>
        <w:rFonts w:ascii="Arimo" w:eastAsia="Arimo" w:hAnsi="Arimo" w:cs="Arimo"/>
        <w:color w:val="00000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CF7243" w14:textId="77777777" w:rsidR="00FF1C73" w:rsidRDefault="00FF1C73" w:rsidP="00804130">
      <w:pPr>
        <w:spacing w:after="0" w:line="240" w:lineRule="auto"/>
      </w:pPr>
      <w:r>
        <w:separator/>
      </w:r>
    </w:p>
  </w:footnote>
  <w:footnote w:type="continuationSeparator" w:id="0">
    <w:p w14:paraId="02395B13" w14:textId="77777777" w:rsidR="00FF1C73" w:rsidRDefault="00FF1C73" w:rsidP="008041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9C4A9C" w14:textId="5B98F4AE" w:rsidR="00804130" w:rsidRDefault="00384B40" w:rsidP="00804130">
    <w:pPr>
      <w:pStyle w:val="Header"/>
      <w:jc w:val="right"/>
    </w:pPr>
    <w:r>
      <w:rPr>
        <w:noProof/>
      </w:rPr>
      <mc:AlternateContent>
        <mc:Choice Requires="wps">
          <w:drawing>
            <wp:anchor distT="0" distB="0" distL="114300" distR="114300" simplePos="0" relativeHeight="251659264" behindDoc="0" locked="0" layoutInCell="1" allowOverlap="1" wp14:anchorId="15EF9519" wp14:editId="71FDE2FA">
              <wp:simplePos x="0" y="0"/>
              <wp:positionH relativeFrom="column">
                <wp:posOffset>-945515</wp:posOffset>
              </wp:positionH>
              <wp:positionV relativeFrom="paragraph">
                <wp:posOffset>889000</wp:posOffset>
              </wp:positionV>
              <wp:extent cx="8124497" cy="0"/>
              <wp:effectExtent l="0" t="12700" r="16510" b="12700"/>
              <wp:wrapNone/>
              <wp:docPr id="481122300" name="Straight Connector 2"/>
              <wp:cNvGraphicFramePr/>
              <a:graphic xmlns:a="http://schemas.openxmlformats.org/drawingml/2006/main">
                <a:graphicData uri="http://schemas.microsoft.com/office/word/2010/wordprocessingShape">
                  <wps:wsp>
                    <wps:cNvCnPr/>
                    <wps:spPr>
                      <a:xfrm>
                        <a:off x="0" y="0"/>
                        <a:ext cx="8124497" cy="0"/>
                      </a:xfrm>
                      <a:prstGeom prst="line">
                        <a:avLst/>
                      </a:prstGeom>
                      <a:ln w="22225">
                        <a:solidFill>
                          <a:schemeClr val="bg2">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B630E71"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74.45pt,70pt" to="565.25pt,7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" strokecolor="#737373 [1614]" strokeweight="1.75pt">
              <v:stroke joinstyle="miter"/>
            </v:line>
          </w:pict>
        </mc:Fallback>
      </mc:AlternateContent>
    </w:r>
    <w:r w:rsidR="00804130">
      <w:rPr>
        <w:noProof/>
      </w:rPr>
      <w:drawing>
        <wp:inline distT="0" distB="0" distL="0" distR="0" wp14:anchorId="27B97E3E" wp14:editId="0F761844">
          <wp:extent cx="1162050" cy="874661"/>
          <wp:effectExtent l="0" t="0" r="0" b="0"/>
          <wp:docPr id="1295437862" name="Drawing 0" descr="013b15ef03d9ab335027dca8d27b4d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013b15ef03d9ab335027dca8d27b4d79.png"/>
                  <pic:cNvPicPr>
                    <a:picLocks noChangeAspect="1"/>
                  </pic:cNvPicPr>
                </pic:nvPicPr>
                <pic:blipFill>
                  <a:blip r:embed="rId1"/>
                  <a:srcRect t="11827" b="12903"/>
                  <a:stretch>
                    <a:fillRect/>
                  </a:stretch>
                </pic:blipFill>
                <pic:spPr>
                  <a:xfrm>
                    <a:off x="0" y="0"/>
                    <a:ext cx="1162050" cy="874661"/>
                  </a:xfrm>
                  <a:prstGeom prst="rect">
                    <a:avLst/>
                  </a:prstGeom>
                </pic:spPr>
              </pic:pic>
            </a:graphicData>
          </a:graphic>
        </wp:inline>
      </w:drawing>
    </w:r>
  </w:p>
  <w:p w14:paraId="4FBA456D" w14:textId="307F250B" w:rsidR="00804130" w:rsidRDefault="00804130" w:rsidP="00804130">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doNotShadeFormData/>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869"/>
    <w:rsid w:val="000B12BD"/>
    <w:rsid w:val="00167BB7"/>
    <w:rsid w:val="001808A5"/>
    <w:rsid w:val="001859F8"/>
    <w:rsid w:val="00384B40"/>
    <w:rsid w:val="00594C6F"/>
    <w:rsid w:val="006D6707"/>
    <w:rsid w:val="00804130"/>
    <w:rsid w:val="009B50FD"/>
    <w:rsid w:val="00AF2869"/>
    <w:rsid w:val="00C60F61"/>
    <w:rsid w:val="00CC704B"/>
    <w:rsid w:val="00F36BB2"/>
    <w:rsid w:val="00FF1C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748DD3"/>
  <w15:docId w15:val="{A04DB078-F4A9-FA49-A6AA-A056E4E64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41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4130"/>
  </w:style>
  <w:style w:type="paragraph" w:styleId="Footer">
    <w:name w:val="footer"/>
    <w:basedOn w:val="Normal"/>
    <w:link w:val="FooterChar"/>
    <w:uiPriority w:val="99"/>
    <w:unhideWhenUsed/>
    <w:rsid w:val="008041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4130"/>
  </w:style>
  <w:style w:type="character" w:styleId="PageNumber">
    <w:name w:val="page number"/>
    <w:basedOn w:val="DefaultParagraphFont"/>
    <w:uiPriority w:val="99"/>
    <w:semiHidden/>
    <w:unhideWhenUsed/>
    <w:rsid w:val="00804130"/>
  </w:style>
  <w:style w:type="paragraph" w:styleId="NoSpacing">
    <w:name w:val="No Spacing"/>
    <w:uiPriority w:val="1"/>
    <w:qFormat/>
    <w:rsid w:val="009B50FD"/>
    <w:pPr>
      <w:spacing w:after="0" w:line="240" w:lineRule="auto"/>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chart" Target="charts/chart1.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100" b="1"/>
              <a:t>S&amp;P 500 Index</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'SP5'!$B$1</c:f>
              <c:strCache>
                <c:ptCount val="1"/>
                <c:pt idx="0">
                  <c:v> S&amp;P 500 </c:v>
                </c:pt>
              </c:strCache>
            </c:strRef>
          </c:tx>
          <c:spPr>
            <a:ln w="28575" cap="rnd">
              <a:solidFill>
                <a:sysClr val="windowText" lastClr="000000"/>
              </a:solidFill>
              <a:round/>
            </a:ln>
            <a:effectLst/>
          </c:spPr>
          <c:marker>
            <c:symbol val="none"/>
          </c:marker>
          <c:cat>
            <c:numRef>
              <c:f>'SP5'!$A$2:$A$253</c:f>
              <c:numCache>
                <c:formatCode>m/d/yyyy</c:formatCode>
                <c:ptCount val="252"/>
                <c:pt idx="0">
                  <c:v>45716</c:v>
                </c:pt>
                <c:pt idx="1">
                  <c:v>45719</c:v>
                </c:pt>
                <c:pt idx="2">
                  <c:v>45720</c:v>
                </c:pt>
                <c:pt idx="3">
                  <c:v>45721</c:v>
                </c:pt>
                <c:pt idx="4">
                  <c:v>45722</c:v>
                </c:pt>
                <c:pt idx="5">
                  <c:v>45723</c:v>
                </c:pt>
                <c:pt idx="6">
                  <c:v>45726</c:v>
                </c:pt>
                <c:pt idx="7">
                  <c:v>45727</c:v>
                </c:pt>
                <c:pt idx="8">
                  <c:v>45728</c:v>
                </c:pt>
                <c:pt idx="9">
                  <c:v>45729</c:v>
                </c:pt>
                <c:pt idx="10">
                  <c:v>45730</c:v>
                </c:pt>
                <c:pt idx="11">
                  <c:v>45733</c:v>
                </c:pt>
                <c:pt idx="12">
                  <c:v>45734</c:v>
                </c:pt>
                <c:pt idx="13">
                  <c:v>45735</c:v>
                </c:pt>
                <c:pt idx="14">
                  <c:v>45736</c:v>
                </c:pt>
                <c:pt idx="15">
                  <c:v>45737</c:v>
                </c:pt>
                <c:pt idx="16">
                  <c:v>45740</c:v>
                </c:pt>
                <c:pt idx="17">
                  <c:v>45741</c:v>
                </c:pt>
                <c:pt idx="18">
                  <c:v>45742</c:v>
                </c:pt>
                <c:pt idx="19">
                  <c:v>45743</c:v>
                </c:pt>
                <c:pt idx="20">
                  <c:v>45744</c:v>
                </c:pt>
                <c:pt idx="21">
                  <c:v>45747</c:v>
                </c:pt>
                <c:pt idx="22">
                  <c:v>45748</c:v>
                </c:pt>
                <c:pt idx="23">
                  <c:v>45749</c:v>
                </c:pt>
                <c:pt idx="24">
                  <c:v>45750</c:v>
                </c:pt>
                <c:pt idx="25">
                  <c:v>45751</c:v>
                </c:pt>
                <c:pt idx="26">
                  <c:v>45754</c:v>
                </c:pt>
                <c:pt idx="27">
                  <c:v>45755</c:v>
                </c:pt>
                <c:pt idx="28">
                  <c:v>45756</c:v>
                </c:pt>
                <c:pt idx="29">
                  <c:v>45757</c:v>
                </c:pt>
                <c:pt idx="30">
                  <c:v>45758</c:v>
                </c:pt>
                <c:pt idx="31">
                  <c:v>45761</c:v>
                </c:pt>
                <c:pt idx="32">
                  <c:v>45762</c:v>
                </c:pt>
                <c:pt idx="33">
                  <c:v>45763</c:v>
                </c:pt>
                <c:pt idx="34">
                  <c:v>45764</c:v>
                </c:pt>
                <c:pt idx="35">
                  <c:v>45768</c:v>
                </c:pt>
                <c:pt idx="36">
                  <c:v>45769</c:v>
                </c:pt>
                <c:pt idx="37">
                  <c:v>45770</c:v>
                </c:pt>
                <c:pt idx="38">
                  <c:v>45771</c:v>
                </c:pt>
                <c:pt idx="39">
                  <c:v>45772</c:v>
                </c:pt>
                <c:pt idx="40">
                  <c:v>45775</c:v>
                </c:pt>
                <c:pt idx="41">
                  <c:v>45776</c:v>
                </c:pt>
                <c:pt idx="42">
                  <c:v>45777</c:v>
                </c:pt>
                <c:pt idx="43">
                  <c:v>45778</c:v>
                </c:pt>
                <c:pt idx="44">
                  <c:v>45779</c:v>
                </c:pt>
                <c:pt idx="45">
                  <c:v>45782</c:v>
                </c:pt>
                <c:pt idx="46">
                  <c:v>45783</c:v>
                </c:pt>
                <c:pt idx="47">
                  <c:v>45784</c:v>
                </c:pt>
                <c:pt idx="48">
                  <c:v>45785</c:v>
                </c:pt>
                <c:pt idx="49">
                  <c:v>45786</c:v>
                </c:pt>
                <c:pt idx="50">
                  <c:v>45789</c:v>
                </c:pt>
                <c:pt idx="51">
                  <c:v>45790</c:v>
                </c:pt>
                <c:pt idx="52">
                  <c:v>45791</c:v>
                </c:pt>
                <c:pt idx="53">
                  <c:v>45792</c:v>
                </c:pt>
                <c:pt idx="54">
                  <c:v>45793</c:v>
                </c:pt>
                <c:pt idx="55">
                  <c:v>45796</c:v>
                </c:pt>
                <c:pt idx="56">
                  <c:v>45797</c:v>
                </c:pt>
                <c:pt idx="57">
                  <c:v>45798</c:v>
                </c:pt>
                <c:pt idx="58">
                  <c:v>45799</c:v>
                </c:pt>
                <c:pt idx="59">
                  <c:v>45800</c:v>
                </c:pt>
                <c:pt idx="60">
                  <c:v>45804</c:v>
                </c:pt>
                <c:pt idx="61">
                  <c:v>45805</c:v>
                </c:pt>
                <c:pt idx="62">
                  <c:v>45806</c:v>
                </c:pt>
                <c:pt idx="63">
                  <c:v>45807</c:v>
                </c:pt>
                <c:pt idx="64">
                  <c:v>45810</c:v>
                </c:pt>
                <c:pt idx="65">
                  <c:v>45811</c:v>
                </c:pt>
                <c:pt idx="66">
                  <c:v>45812</c:v>
                </c:pt>
                <c:pt idx="67">
                  <c:v>45813</c:v>
                </c:pt>
                <c:pt idx="68">
                  <c:v>45814</c:v>
                </c:pt>
                <c:pt idx="69">
                  <c:v>45817</c:v>
                </c:pt>
                <c:pt idx="70">
                  <c:v>45818</c:v>
                </c:pt>
                <c:pt idx="71">
                  <c:v>45819</c:v>
                </c:pt>
                <c:pt idx="72">
                  <c:v>45820</c:v>
                </c:pt>
                <c:pt idx="73">
                  <c:v>45821</c:v>
                </c:pt>
                <c:pt idx="74">
                  <c:v>45824</c:v>
                </c:pt>
                <c:pt idx="75">
                  <c:v>45825</c:v>
                </c:pt>
                <c:pt idx="76">
                  <c:v>45826</c:v>
                </c:pt>
                <c:pt idx="77">
                  <c:v>45828</c:v>
                </c:pt>
                <c:pt idx="78">
                  <c:v>45831</c:v>
                </c:pt>
                <c:pt idx="79">
                  <c:v>45832</c:v>
                </c:pt>
                <c:pt idx="80">
                  <c:v>45833</c:v>
                </c:pt>
                <c:pt idx="81">
                  <c:v>45834</c:v>
                </c:pt>
                <c:pt idx="82">
                  <c:v>45835</c:v>
                </c:pt>
                <c:pt idx="83">
                  <c:v>45838</c:v>
                </c:pt>
                <c:pt idx="84">
                  <c:v>45839</c:v>
                </c:pt>
                <c:pt idx="85">
                  <c:v>45840</c:v>
                </c:pt>
                <c:pt idx="86">
                  <c:v>45841</c:v>
                </c:pt>
                <c:pt idx="87">
                  <c:v>45845</c:v>
                </c:pt>
                <c:pt idx="88">
                  <c:v>45846</c:v>
                </c:pt>
                <c:pt idx="89">
                  <c:v>45847</c:v>
                </c:pt>
                <c:pt idx="90">
                  <c:v>45848</c:v>
                </c:pt>
                <c:pt idx="91">
                  <c:v>45849</c:v>
                </c:pt>
                <c:pt idx="92">
                  <c:v>45852</c:v>
                </c:pt>
                <c:pt idx="93">
                  <c:v>45853</c:v>
                </c:pt>
                <c:pt idx="94">
                  <c:v>45854</c:v>
                </c:pt>
                <c:pt idx="95">
                  <c:v>45855</c:v>
                </c:pt>
                <c:pt idx="96">
                  <c:v>45856</c:v>
                </c:pt>
                <c:pt idx="97">
                  <c:v>45859</c:v>
                </c:pt>
                <c:pt idx="98">
                  <c:v>45860</c:v>
                </c:pt>
                <c:pt idx="99">
                  <c:v>45861</c:v>
                </c:pt>
                <c:pt idx="100">
                  <c:v>45862</c:v>
                </c:pt>
                <c:pt idx="101">
                  <c:v>45863</c:v>
                </c:pt>
                <c:pt idx="102">
                  <c:v>45866</c:v>
                </c:pt>
                <c:pt idx="103">
                  <c:v>45867</c:v>
                </c:pt>
                <c:pt idx="104">
                  <c:v>45868</c:v>
                </c:pt>
                <c:pt idx="105">
                  <c:v>45869</c:v>
                </c:pt>
                <c:pt idx="106">
                  <c:v>45870</c:v>
                </c:pt>
                <c:pt idx="107">
                  <c:v>45873</c:v>
                </c:pt>
                <c:pt idx="108">
                  <c:v>45874</c:v>
                </c:pt>
                <c:pt idx="109">
                  <c:v>45875</c:v>
                </c:pt>
                <c:pt idx="110">
                  <c:v>45876</c:v>
                </c:pt>
                <c:pt idx="111">
                  <c:v>45877</c:v>
                </c:pt>
                <c:pt idx="112">
                  <c:v>45880</c:v>
                </c:pt>
                <c:pt idx="113">
                  <c:v>45881</c:v>
                </c:pt>
                <c:pt idx="114">
                  <c:v>45882</c:v>
                </c:pt>
                <c:pt idx="115">
                  <c:v>45883</c:v>
                </c:pt>
                <c:pt idx="116">
                  <c:v>45884</c:v>
                </c:pt>
                <c:pt idx="117">
                  <c:v>45887</c:v>
                </c:pt>
                <c:pt idx="118">
                  <c:v>45888</c:v>
                </c:pt>
                <c:pt idx="119">
                  <c:v>45889</c:v>
                </c:pt>
                <c:pt idx="120">
                  <c:v>45890</c:v>
                </c:pt>
                <c:pt idx="121">
                  <c:v>45891</c:v>
                </c:pt>
                <c:pt idx="122">
                  <c:v>45894</c:v>
                </c:pt>
                <c:pt idx="123">
                  <c:v>45895</c:v>
                </c:pt>
                <c:pt idx="124">
                  <c:v>45896</c:v>
                </c:pt>
                <c:pt idx="125">
                  <c:v>45897</c:v>
                </c:pt>
                <c:pt idx="126">
                  <c:v>45898</c:v>
                </c:pt>
                <c:pt idx="127">
                  <c:v>45902</c:v>
                </c:pt>
                <c:pt idx="128">
                  <c:v>45903</c:v>
                </c:pt>
                <c:pt idx="129">
                  <c:v>45904</c:v>
                </c:pt>
                <c:pt idx="130">
                  <c:v>45905</c:v>
                </c:pt>
                <c:pt idx="131">
                  <c:v>45908</c:v>
                </c:pt>
                <c:pt idx="132">
                  <c:v>45909</c:v>
                </c:pt>
                <c:pt idx="133">
                  <c:v>45910</c:v>
                </c:pt>
                <c:pt idx="134">
                  <c:v>45911</c:v>
                </c:pt>
                <c:pt idx="135">
                  <c:v>45912</c:v>
                </c:pt>
                <c:pt idx="136">
                  <c:v>45915</c:v>
                </c:pt>
                <c:pt idx="137">
                  <c:v>45916</c:v>
                </c:pt>
                <c:pt idx="138">
                  <c:v>45917</c:v>
                </c:pt>
                <c:pt idx="139">
                  <c:v>45918</c:v>
                </c:pt>
                <c:pt idx="140">
                  <c:v>45919</c:v>
                </c:pt>
                <c:pt idx="141">
                  <c:v>45922</c:v>
                </c:pt>
                <c:pt idx="142">
                  <c:v>45923</c:v>
                </c:pt>
                <c:pt idx="143">
                  <c:v>45924</c:v>
                </c:pt>
                <c:pt idx="144">
                  <c:v>45925</c:v>
                </c:pt>
                <c:pt idx="145">
                  <c:v>45926</c:v>
                </c:pt>
                <c:pt idx="146">
                  <c:v>45929</c:v>
                </c:pt>
                <c:pt idx="147">
                  <c:v>45930</c:v>
                </c:pt>
                <c:pt idx="148">
                  <c:v>45931</c:v>
                </c:pt>
                <c:pt idx="149">
                  <c:v>45932</c:v>
                </c:pt>
                <c:pt idx="150">
                  <c:v>45933</c:v>
                </c:pt>
                <c:pt idx="151">
                  <c:v>45936</c:v>
                </c:pt>
                <c:pt idx="152">
                  <c:v>45937</c:v>
                </c:pt>
                <c:pt idx="153">
                  <c:v>45938</c:v>
                </c:pt>
                <c:pt idx="154">
                  <c:v>45939</c:v>
                </c:pt>
                <c:pt idx="155">
                  <c:v>45940</c:v>
                </c:pt>
                <c:pt idx="156">
                  <c:v>45943</c:v>
                </c:pt>
                <c:pt idx="157">
                  <c:v>45944</c:v>
                </c:pt>
                <c:pt idx="158">
                  <c:v>45945</c:v>
                </c:pt>
                <c:pt idx="159">
                  <c:v>45946</c:v>
                </c:pt>
                <c:pt idx="160">
                  <c:v>45947</c:v>
                </c:pt>
                <c:pt idx="161">
                  <c:v>45950</c:v>
                </c:pt>
                <c:pt idx="162">
                  <c:v>45951</c:v>
                </c:pt>
                <c:pt idx="163">
                  <c:v>45952</c:v>
                </c:pt>
                <c:pt idx="164">
                  <c:v>45953</c:v>
                </c:pt>
                <c:pt idx="165">
                  <c:v>45954</c:v>
                </c:pt>
                <c:pt idx="166">
                  <c:v>45957</c:v>
                </c:pt>
                <c:pt idx="167">
                  <c:v>45958</c:v>
                </c:pt>
                <c:pt idx="168">
                  <c:v>45959</c:v>
                </c:pt>
                <c:pt idx="169">
                  <c:v>45960</c:v>
                </c:pt>
                <c:pt idx="170">
                  <c:v>45961</c:v>
                </c:pt>
                <c:pt idx="171">
                  <c:v>45964</c:v>
                </c:pt>
                <c:pt idx="172">
                  <c:v>45965</c:v>
                </c:pt>
                <c:pt idx="173">
                  <c:v>45966</c:v>
                </c:pt>
                <c:pt idx="174">
                  <c:v>45967</c:v>
                </c:pt>
                <c:pt idx="175">
                  <c:v>45968</c:v>
                </c:pt>
                <c:pt idx="176">
                  <c:v>45971</c:v>
                </c:pt>
                <c:pt idx="177">
                  <c:v>45972</c:v>
                </c:pt>
                <c:pt idx="178">
                  <c:v>45973</c:v>
                </c:pt>
                <c:pt idx="179">
                  <c:v>45974</c:v>
                </c:pt>
                <c:pt idx="180">
                  <c:v>45975</c:v>
                </c:pt>
                <c:pt idx="181">
                  <c:v>45978</c:v>
                </c:pt>
                <c:pt idx="182">
                  <c:v>45979</c:v>
                </c:pt>
                <c:pt idx="183">
                  <c:v>45980</c:v>
                </c:pt>
                <c:pt idx="184">
                  <c:v>45981</c:v>
                </c:pt>
                <c:pt idx="185">
                  <c:v>45982</c:v>
                </c:pt>
                <c:pt idx="186">
                  <c:v>45985</c:v>
                </c:pt>
                <c:pt idx="187">
                  <c:v>45986</c:v>
                </c:pt>
                <c:pt idx="188">
                  <c:v>45987</c:v>
                </c:pt>
                <c:pt idx="189">
                  <c:v>45989</c:v>
                </c:pt>
                <c:pt idx="190">
                  <c:v>45992</c:v>
                </c:pt>
                <c:pt idx="191">
                  <c:v>45993</c:v>
                </c:pt>
                <c:pt idx="192">
                  <c:v>45994</c:v>
                </c:pt>
                <c:pt idx="193">
                  <c:v>45995</c:v>
                </c:pt>
                <c:pt idx="194">
                  <c:v>45996</c:v>
                </c:pt>
                <c:pt idx="195">
                  <c:v>45999</c:v>
                </c:pt>
                <c:pt idx="196">
                  <c:v>46000</c:v>
                </c:pt>
                <c:pt idx="197">
                  <c:v>46001</c:v>
                </c:pt>
                <c:pt idx="198">
                  <c:v>46002</c:v>
                </c:pt>
                <c:pt idx="199">
                  <c:v>46003</c:v>
                </c:pt>
                <c:pt idx="200">
                  <c:v>46006</c:v>
                </c:pt>
                <c:pt idx="201">
                  <c:v>46007</c:v>
                </c:pt>
                <c:pt idx="202">
                  <c:v>46008</c:v>
                </c:pt>
                <c:pt idx="203">
                  <c:v>46009</c:v>
                </c:pt>
                <c:pt idx="204">
                  <c:v>46010</c:v>
                </c:pt>
                <c:pt idx="205">
                  <c:v>46013</c:v>
                </c:pt>
                <c:pt idx="206">
                  <c:v>46014</c:v>
                </c:pt>
                <c:pt idx="207">
                  <c:v>46015</c:v>
                </c:pt>
                <c:pt idx="208">
                  <c:v>46017</c:v>
                </c:pt>
                <c:pt idx="209">
                  <c:v>46020</c:v>
                </c:pt>
                <c:pt idx="210">
                  <c:v>46021</c:v>
                </c:pt>
                <c:pt idx="211">
                  <c:v>46022</c:v>
                </c:pt>
                <c:pt idx="212">
                  <c:v>46024</c:v>
                </c:pt>
                <c:pt idx="213">
                  <c:v>46027</c:v>
                </c:pt>
                <c:pt idx="214">
                  <c:v>46028</c:v>
                </c:pt>
                <c:pt idx="215">
                  <c:v>46029</c:v>
                </c:pt>
                <c:pt idx="216">
                  <c:v>46030</c:v>
                </c:pt>
                <c:pt idx="217">
                  <c:v>46031</c:v>
                </c:pt>
                <c:pt idx="218">
                  <c:v>46034</c:v>
                </c:pt>
                <c:pt idx="219">
                  <c:v>46035</c:v>
                </c:pt>
                <c:pt idx="220">
                  <c:v>46036</c:v>
                </c:pt>
                <c:pt idx="221">
                  <c:v>46037</c:v>
                </c:pt>
                <c:pt idx="222">
                  <c:v>46038</c:v>
                </c:pt>
                <c:pt idx="223">
                  <c:v>46042</c:v>
                </c:pt>
                <c:pt idx="224">
                  <c:v>46043</c:v>
                </c:pt>
                <c:pt idx="225">
                  <c:v>46044</c:v>
                </c:pt>
                <c:pt idx="226">
                  <c:v>46045</c:v>
                </c:pt>
                <c:pt idx="227">
                  <c:v>46048</c:v>
                </c:pt>
                <c:pt idx="228">
                  <c:v>46049</c:v>
                </c:pt>
                <c:pt idx="229">
                  <c:v>46050</c:v>
                </c:pt>
                <c:pt idx="230">
                  <c:v>46051</c:v>
                </c:pt>
                <c:pt idx="231">
                  <c:v>46052</c:v>
                </c:pt>
                <c:pt idx="232">
                  <c:v>46055</c:v>
                </c:pt>
                <c:pt idx="233">
                  <c:v>46056</c:v>
                </c:pt>
                <c:pt idx="234">
                  <c:v>46057</c:v>
                </c:pt>
                <c:pt idx="235">
                  <c:v>46058</c:v>
                </c:pt>
                <c:pt idx="236">
                  <c:v>46059</c:v>
                </c:pt>
                <c:pt idx="237">
                  <c:v>46062</c:v>
                </c:pt>
                <c:pt idx="238">
                  <c:v>46063</c:v>
                </c:pt>
                <c:pt idx="239">
                  <c:v>46064</c:v>
                </c:pt>
                <c:pt idx="240">
                  <c:v>46065</c:v>
                </c:pt>
                <c:pt idx="241">
                  <c:v>46066</c:v>
                </c:pt>
                <c:pt idx="242">
                  <c:v>46070</c:v>
                </c:pt>
                <c:pt idx="243">
                  <c:v>46071</c:v>
                </c:pt>
                <c:pt idx="244">
                  <c:v>46072</c:v>
                </c:pt>
                <c:pt idx="245">
                  <c:v>46073</c:v>
                </c:pt>
                <c:pt idx="246">
                  <c:v>46076</c:v>
                </c:pt>
                <c:pt idx="247">
                  <c:v>46077</c:v>
                </c:pt>
                <c:pt idx="248">
                  <c:v>46078</c:v>
                </c:pt>
                <c:pt idx="249">
                  <c:v>46079</c:v>
                </c:pt>
                <c:pt idx="250">
                  <c:v>46079</c:v>
                </c:pt>
                <c:pt idx="251">
                  <c:v>46081</c:v>
                </c:pt>
              </c:numCache>
            </c:numRef>
          </c:cat>
          <c:val>
            <c:numRef>
              <c:f>'SP5'!$B$2:$B$253</c:f>
              <c:numCache>
                <c:formatCode>_(* #,##0.00_);_(* \(#,##0.00\);_(* "-"??_);_(@_)</c:formatCode>
                <c:ptCount val="252"/>
                <c:pt idx="0">
                  <c:v>5954.5047999999997</c:v>
                </c:pt>
                <c:pt idx="1">
                  <c:v>5849.7194</c:v>
                </c:pt>
                <c:pt idx="2">
                  <c:v>5778.1491999999998</c:v>
                </c:pt>
                <c:pt idx="3">
                  <c:v>5842.6255000000001</c:v>
                </c:pt>
                <c:pt idx="4">
                  <c:v>5738.5186999999996</c:v>
                </c:pt>
                <c:pt idx="5">
                  <c:v>5770.1956</c:v>
                </c:pt>
                <c:pt idx="6">
                  <c:v>5614.5636000000004</c:v>
                </c:pt>
                <c:pt idx="7">
                  <c:v>5572.0699000000004</c:v>
                </c:pt>
                <c:pt idx="8">
                  <c:v>5599.3002999999999</c:v>
                </c:pt>
                <c:pt idx="9">
                  <c:v>5521.5192999999999</c:v>
                </c:pt>
                <c:pt idx="10">
                  <c:v>5638.9402</c:v>
                </c:pt>
                <c:pt idx="11">
                  <c:v>5675.1172999999999</c:v>
                </c:pt>
                <c:pt idx="12">
                  <c:v>5614.6620000000003</c:v>
                </c:pt>
                <c:pt idx="13">
                  <c:v>5675.2871999999998</c:v>
                </c:pt>
                <c:pt idx="14">
                  <c:v>5662.8905000000004</c:v>
                </c:pt>
                <c:pt idx="15">
                  <c:v>5667.5643</c:v>
                </c:pt>
                <c:pt idx="16">
                  <c:v>5767.5671000000002</c:v>
                </c:pt>
                <c:pt idx="17">
                  <c:v>5776.6513000000004</c:v>
                </c:pt>
                <c:pt idx="18">
                  <c:v>5712.2034000000003</c:v>
                </c:pt>
                <c:pt idx="19">
                  <c:v>5693.3127000000004</c:v>
                </c:pt>
                <c:pt idx="20">
                  <c:v>5580.9435999999996</c:v>
                </c:pt>
                <c:pt idx="21">
                  <c:v>5611.8526000000002</c:v>
                </c:pt>
                <c:pt idx="22">
                  <c:v>5633.0697</c:v>
                </c:pt>
                <c:pt idx="23">
                  <c:v>5670.9736000000003</c:v>
                </c:pt>
                <c:pt idx="24">
                  <c:v>5396.5168000000003</c:v>
                </c:pt>
                <c:pt idx="25">
                  <c:v>5074.0756000000001</c:v>
                </c:pt>
                <c:pt idx="26">
                  <c:v>5062.2455</c:v>
                </c:pt>
                <c:pt idx="27">
                  <c:v>4982.7703000000001</c:v>
                </c:pt>
                <c:pt idx="28">
                  <c:v>5456.9007000000001</c:v>
                </c:pt>
                <c:pt idx="29">
                  <c:v>5268.0544</c:v>
                </c:pt>
                <c:pt idx="30">
                  <c:v>5363.3594999999996</c:v>
                </c:pt>
                <c:pt idx="31">
                  <c:v>5405.9712</c:v>
                </c:pt>
                <c:pt idx="32">
                  <c:v>5396.6346999999996</c:v>
                </c:pt>
                <c:pt idx="33">
                  <c:v>5275.7011000000002</c:v>
                </c:pt>
                <c:pt idx="34">
                  <c:v>5282.701</c:v>
                </c:pt>
                <c:pt idx="35">
                  <c:v>5158.2026999999998</c:v>
                </c:pt>
                <c:pt idx="36">
                  <c:v>5287.7629999999999</c:v>
                </c:pt>
                <c:pt idx="37">
                  <c:v>5375.8638000000001</c:v>
                </c:pt>
                <c:pt idx="38">
                  <c:v>5484.7737999999999</c:v>
                </c:pt>
                <c:pt idx="39">
                  <c:v>5525.2051000000001</c:v>
                </c:pt>
                <c:pt idx="40">
                  <c:v>5528.7457000000004</c:v>
                </c:pt>
                <c:pt idx="41">
                  <c:v>5560.8270000000002</c:v>
                </c:pt>
                <c:pt idx="42">
                  <c:v>5569.0646999999999</c:v>
                </c:pt>
                <c:pt idx="43">
                  <c:v>5604.1413000000002</c:v>
                </c:pt>
                <c:pt idx="44">
                  <c:v>5686.6747999999998</c:v>
                </c:pt>
                <c:pt idx="45">
                  <c:v>5650.3816999999999</c:v>
                </c:pt>
                <c:pt idx="46">
                  <c:v>5606.9067999999997</c:v>
                </c:pt>
                <c:pt idx="47">
                  <c:v>5631.2843000000003</c:v>
                </c:pt>
                <c:pt idx="48">
                  <c:v>5663.9393</c:v>
                </c:pt>
                <c:pt idx="49">
                  <c:v>5659.9123</c:v>
                </c:pt>
                <c:pt idx="50">
                  <c:v>5844.1867000000002</c:v>
                </c:pt>
                <c:pt idx="51">
                  <c:v>5886.5528000000004</c:v>
                </c:pt>
                <c:pt idx="52">
                  <c:v>5892.5844999999999</c:v>
                </c:pt>
                <c:pt idx="53">
                  <c:v>5916.9260999999997</c:v>
                </c:pt>
                <c:pt idx="54">
                  <c:v>5958.3755000000001</c:v>
                </c:pt>
                <c:pt idx="55">
                  <c:v>5963.6044000000002</c:v>
                </c:pt>
                <c:pt idx="56">
                  <c:v>5940.4637000000002</c:v>
                </c:pt>
                <c:pt idx="57">
                  <c:v>5844.6121000000003</c:v>
                </c:pt>
                <c:pt idx="58">
                  <c:v>5842.0083000000004</c:v>
                </c:pt>
                <c:pt idx="59">
                  <c:v>5802.8150999999998</c:v>
                </c:pt>
                <c:pt idx="60">
                  <c:v>5921.5403999999999</c:v>
                </c:pt>
                <c:pt idx="61">
                  <c:v>5888.5526</c:v>
                </c:pt>
                <c:pt idx="62">
                  <c:v>5912.1727000000001</c:v>
                </c:pt>
                <c:pt idx="63">
                  <c:v>5911.6867000000002</c:v>
                </c:pt>
                <c:pt idx="64">
                  <c:v>5935.9409999999998</c:v>
                </c:pt>
                <c:pt idx="65">
                  <c:v>5970.3681999999999</c:v>
                </c:pt>
                <c:pt idx="66">
                  <c:v>5970.8131999999996</c:v>
                </c:pt>
                <c:pt idx="67">
                  <c:v>5939.3032999999996</c:v>
                </c:pt>
                <c:pt idx="68">
                  <c:v>6000.3550999999998</c:v>
                </c:pt>
                <c:pt idx="69">
                  <c:v>6005.8834999999999</c:v>
                </c:pt>
                <c:pt idx="70">
                  <c:v>6038.8058000000001</c:v>
                </c:pt>
                <c:pt idx="71">
                  <c:v>6022.2412000000004</c:v>
                </c:pt>
                <c:pt idx="72">
                  <c:v>6045.2556999999997</c:v>
                </c:pt>
                <c:pt idx="73">
                  <c:v>5976.9659000000001</c:v>
                </c:pt>
                <c:pt idx="74">
                  <c:v>6033.1063000000004</c:v>
                </c:pt>
                <c:pt idx="75">
                  <c:v>5982.7169999999996</c:v>
                </c:pt>
                <c:pt idx="76">
                  <c:v>5980.8654999999999</c:v>
                </c:pt>
                <c:pt idx="77">
                  <c:v>5967.8395</c:v>
                </c:pt>
                <c:pt idx="78">
                  <c:v>6025.174</c:v>
                </c:pt>
                <c:pt idx="79">
                  <c:v>6092.1810999999998</c:v>
                </c:pt>
                <c:pt idx="80">
                  <c:v>6092.1614</c:v>
                </c:pt>
                <c:pt idx="81">
                  <c:v>6141.0192999999999</c:v>
                </c:pt>
                <c:pt idx="82">
                  <c:v>6173.0735999999997</c:v>
                </c:pt>
                <c:pt idx="83">
                  <c:v>6204.9539999999997</c:v>
                </c:pt>
                <c:pt idx="84">
                  <c:v>6198.0069000000003</c:v>
                </c:pt>
                <c:pt idx="85">
                  <c:v>6227.4197000000004</c:v>
                </c:pt>
                <c:pt idx="86">
                  <c:v>6279.3509999999997</c:v>
                </c:pt>
                <c:pt idx="87">
                  <c:v>6229.9775</c:v>
                </c:pt>
                <c:pt idx="88">
                  <c:v>6225.5234</c:v>
                </c:pt>
                <c:pt idx="89">
                  <c:v>6263.2644</c:v>
                </c:pt>
                <c:pt idx="90">
                  <c:v>6280.4583000000002</c:v>
                </c:pt>
                <c:pt idx="91">
                  <c:v>6259.7464</c:v>
                </c:pt>
                <c:pt idx="92">
                  <c:v>6268.5590000000002</c:v>
                </c:pt>
                <c:pt idx="93">
                  <c:v>6243.7556999999997</c:v>
                </c:pt>
                <c:pt idx="94">
                  <c:v>6263.6952000000001</c:v>
                </c:pt>
                <c:pt idx="95">
                  <c:v>6297.3618999999999</c:v>
                </c:pt>
                <c:pt idx="96">
                  <c:v>6296.7889999999998</c:v>
                </c:pt>
                <c:pt idx="97">
                  <c:v>6305.5951999999997</c:v>
                </c:pt>
                <c:pt idx="98">
                  <c:v>6309.6237000000001</c:v>
                </c:pt>
                <c:pt idx="99">
                  <c:v>6358.9138000000003</c:v>
                </c:pt>
                <c:pt idx="100">
                  <c:v>6363.3492999999999</c:v>
                </c:pt>
                <c:pt idx="101">
                  <c:v>6388.6445000000003</c:v>
                </c:pt>
                <c:pt idx="102">
                  <c:v>6389.7664999999997</c:v>
                </c:pt>
                <c:pt idx="103">
                  <c:v>6370.8612999999996</c:v>
                </c:pt>
                <c:pt idx="104">
                  <c:v>6362.8987999999999</c:v>
                </c:pt>
                <c:pt idx="105">
                  <c:v>6339.3945999999996</c:v>
                </c:pt>
                <c:pt idx="106">
                  <c:v>6238.0065999999997</c:v>
                </c:pt>
                <c:pt idx="107">
                  <c:v>6329.9395000000004</c:v>
                </c:pt>
                <c:pt idx="108">
                  <c:v>6299.1940000000004</c:v>
                </c:pt>
                <c:pt idx="109">
                  <c:v>6345.0595000000003</c:v>
                </c:pt>
                <c:pt idx="110">
                  <c:v>6339.9976999999999</c:v>
                </c:pt>
                <c:pt idx="111">
                  <c:v>6389.4453000000003</c:v>
                </c:pt>
                <c:pt idx="112">
                  <c:v>6373.4534000000003</c:v>
                </c:pt>
                <c:pt idx="113">
                  <c:v>6445.7622000000001</c:v>
                </c:pt>
                <c:pt idx="114">
                  <c:v>6466.5847000000003</c:v>
                </c:pt>
                <c:pt idx="115">
                  <c:v>6468.5352000000003</c:v>
                </c:pt>
                <c:pt idx="116">
                  <c:v>6449.7965999999997</c:v>
                </c:pt>
                <c:pt idx="117">
                  <c:v>6449.1491999999998</c:v>
                </c:pt>
                <c:pt idx="118">
                  <c:v>6411.3746000000001</c:v>
                </c:pt>
                <c:pt idx="119">
                  <c:v>6395.7812000000004</c:v>
                </c:pt>
                <c:pt idx="120">
                  <c:v>6370.1727000000001</c:v>
                </c:pt>
                <c:pt idx="121">
                  <c:v>6466.9129999999996</c:v>
                </c:pt>
                <c:pt idx="122">
                  <c:v>6439.3199000000004</c:v>
                </c:pt>
                <c:pt idx="123">
                  <c:v>6465.9353000000001</c:v>
                </c:pt>
                <c:pt idx="124">
                  <c:v>6481.4031999999997</c:v>
                </c:pt>
                <c:pt idx="125">
                  <c:v>6501.8594000000003</c:v>
                </c:pt>
                <c:pt idx="126">
                  <c:v>6460.2627000000002</c:v>
                </c:pt>
                <c:pt idx="127">
                  <c:v>6415.5412999999999</c:v>
                </c:pt>
                <c:pt idx="128">
                  <c:v>6448.2609000000002</c:v>
                </c:pt>
                <c:pt idx="129">
                  <c:v>6502.0829000000003</c:v>
                </c:pt>
                <c:pt idx="130">
                  <c:v>6481.4955</c:v>
                </c:pt>
                <c:pt idx="131">
                  <c:v>6495.1548000000003</c:v>
                </c:pt>
                <c:pt idx="132">
                  <c:v>6512.6108000000004</c:v>
                </c:pt>
                <c:pt idx="133">
                  <c:v>6532.0433000000003</c:v>
                </c:pt>
                <c:pt idx="134">
                  <c:v>6587.4709000000003</c:v>
                </c:pt>
                <c:pt idx="135">
                  <c:v>6584.2849999999999</c:v>
                </c:pt>
                <c:pt idx="136">
                  <c:v>6615.2767999999996</c:v>
                </c:pt>
                <c:pt idx="137">
                  <c:v>6606.7559000000001</c:v>
                </c:pt>
                <c:pt idx="138">
                  <c:v>6600.3471</c:v>
                </c:pt>
                <c:pt idx="139">
                  <c:v>6631.9629000000004</c:v>
                </c:pt>
                <c:pt idx="140">
                  <c:v>6664.3648000000003</c:v>
                </c:pt>
                <c:pt idx="141">
                  <c:v>6693.7533000000003</c:v>
                </c:pt>
                <c:pt idx="142">
                  <c:v>6656.9198999999999</c:v>
                </c:pt>
                <c:pt idx="143">
                  <c:v>6637.9736999999996</c:v>
                </c:pt>
                <c:pt idx="144">
                  <c:v>6604.7172</c:v>
                </c:pt>
                <c:pt idx="145">
                  <c:v>6643.6975000000002</c:v>
                </c:pt>
                <c:pt idx="146">
                  <c:v>6661.2073</c:v>
                </c:pt>
                <c:pt idx="147">
                  <c:v>6688.4589999999998</c:v>
                </c:pt>
                <c:pt idx="148">
                  <c:v>6711.2039000000004</c:v>
                </c:pt>
                <c:pt idx="149">
                  <c:v>6715.3463000000002</c:v>
                </c:pt>
                <c:pt idx="150">
                  <c:v>6715.7893000000004</c:v>
                </c:pt>
                <c:pt idx="151">
                  <c:v>6740.2813999999998</c:v>
                </c:pt>
                <c:pt idx="152">
                  <c:v>6714.5879000000004</c:v>
                </c:pt>
                <c:pt idx="153">
                  <c:v>6753.7170999999998</c:v>
                </c:pt>
                <c:pt idx="154">
                  <c:v>6735.1108000000004</c:v>
                </c:pt>
                <c:pt idx="155">
                  <c:v>6552.5132000000003</c:v>
                </c:pt>
                <c:pt idx="156">
                  <c:v>6654.7191000000003</c:v>
                </c:pt>
                <c:pt idx="157">
                  <c:v>6644.3083999999999</c:v>
                </c:pt>
                <c:pt idx="158">
                  <c:v>6671.0582999999997</c:v>
                </c:pt>
                <c:pt idx="159">
                  <c:v>6629.0742</c:v>
                </c:pt>
                <c:pt idx="160">
                  <c:v>6664.0110000000004</c:v>
                </c:pt>
                <c:pt idx="161">
                  <c:v>6735.1265000000003</c:v>
                </c:pt>
                <c:pt idx="162">
                  <c:v>6735.3514999999998</c:v>
                </c:pt>
                <c:pt idx="163">
                  <c:v>6699.4023999999999</c:v>
                </c:pt>
                <c:pt idx="164">
                  <c:v>6738.4377000000004</c:v>
                </c:pt>
                <c:pt idx="165">
                  <c:v>6791.6938</c:v>
                </c:pt>
                <c:pt idx="166">
                  <c:v>6875.1569</c:v>
                </c:pt>
                <c:pt idx="167">
                  <c:v>6890.8883999999998</c:v>
                </c:pt>
                <c:pt idx="168">
                  <c:v>6890.5870000000004</c:v>
                </c:pt>
                <c:pt idx="169">
                  <c:v>6822.3402999999998</c:v>
                </c:pt>
                <c:pt idx="170">
                  <c:v>6840.1986999999999</c:v>
                </c:pt>
                <c:pt idx="171">
                  <c:v>6851.9666999999999</c:v>
                </c:pt>
                <c:pt idx="172">
                  <c:v>6771.5474999999997</c:v>
                </c:pt>
                <c:pt idx="173">
                  <c:v>6796.2893999999997</c:v>
                </c:pt>
                <c:pt idx="174">
                  <c:v>6720.3202000000001</c:v>
                </c:pt>
                <c:pt idx="175">
                  <c:v>6728.8010999999997</c:v>
                </c:pt>
                <c:pt idx="176">
                  <c:v>6832.4301999999998</c:v>
                </c:pt>
                <c:pt idx="177">
                  <c:v>6846.6142</c:v>
                </c:pt>
                <c:pt idx="178">
                  <c:v>6850.9165000000003</c:v>
                </c:pt>
                <c:pt idx="179">
                  <c:v>6737.4886999999999</c:v>
                </c:pt>
                <c:pt idx="180">
                  <c:v>6734.1107000000002</c:v>
                </c:pt>
                <c:pt idx="181">
                  <c:v>6672.4116000000004</c:v>
                </c:pt>
                <c:pt idx="182">
                  <c:v>6617.3200999999999</c:v>
                </c:pt>
                <c:pt idx="183">
                  <c:v>6642.1584999999995</c:v>
                </c:pt>
                <c:pt idx="184">
                  <c:v>6538.7627000000002</c:v>
                </c:pt>
                <c:pt idx="185">
                  <c:v>6602.9862999999996</c:v>
                </c:pt>
                <c:pt idx="186">
                  <c:v>6705.1171000000004</c:v>
                </c:pt>
                <c:pt idx="187">
                  <c:v>6765.8760000000002</c:v>
                </c:pt>
                <c:pt idx="188">
                  <c:v>6812.6130999999996</c:v>
                </c:pt>
                <c:pt idx="189">
                  <c:v>6849.0874000000003</c:v>
                </c:pt>
                <c:pt idx="190">
                  <c:v>6812.6259</c:v>
                </c:pt>
                <c:pt idx="191">
                  <c:v>6829.3706000000002</c:v>
                </c:pt>
                <c:pt idx="192">
                  <c:v>6849.7227000000003</c:v>
                </c:pt>
                <c:pt idx="193">
                  <c:v>6857.1197000000002</c:v>
                </c:pt>
                <c:pt idx="194">
                  <c:v>6870.4041999999999</c:v>
                </c:pt>
                <c:pt idx="195">
                  <c:v>6846.5061999999998</c:v>
                </c:pt>
                <c:pt idx="196">
                  <c:v>6840.5096000000003</c:v>
                </c:pt>
                <c:pt idx="197">
                  <c:v>6886.683</c:v>
                </c:pt>
                <c:pt idx="198">
                  <c:v>6900.9952000000003</c:v>
                </c:pt>
                <c:pt idx="199">
                  <c:v>6827.4065000000001</c:v>
                </c:pt>
                <c:pt idx="200">
                  <c:v>6816.5083000000004</c:v>
                </c:pt>
                <c:pt idx="201">
                  <c:v>6800.2572</c:v>
                </c:pt>
                <c:pt idx="202">
                  <c:v>6721.4295000000002</c:v>
                </c:pt>
                <c:pt idx="203">
                  <c:v>6774.7575999999999</c:v>
                </c:pt>
                <c:pt idx="204">
                  <c:v>6834.4961999999996</c:v>
                </c:pt>
                <c:pt idx="205">
                  <c:v>6878.4894999999997</c:v>
                </c:pt>
                <c:pt idx="206">
                  <c:v>6909.7920999999997</c:v>
                </c:pt>
                <c:pt idx="207">
                  <c:v>6932.0492000000004</c:v>
                </c:pt>
                <c:pt idx="208">
                  <c:v>6929.94</c:v>
                </c:pt>
                <c:pt idx="209">
                  <c:v>6905.7440999999999</c:v>
                </c:pt>
                <c:pt idx="210">
                  <c:v>6896.2416999999996</c:v>
                </c:pt>
                <c:pt idx="211">
                  <c:v>6845.5047000000004</c:v>
                </c:pt>
                <c:pt idx="212">
                  <c:v>6858.4723000000004</c:v>
                </c:pt>
                <c:pt idx="213">
                  <c:v>6902.0508</c:v>
                </c:pt>
                <c:pt idx="214">
                  <c:v>6944.8191999999999</c:v>
                </c:pt>
                <c:pt idx="215">
                  <c:v>6920.9292999999998</c:v>
                </c:pt>
                <c:pt idx="216">
                  <c:v>6921.4570999999996</c:v>
                </c:pt>
                <c:pt idx="217">
                  <c:v>6966.2839000000004</c:v>
                </c:pt>
                <c:pt idx="218">
                  <c:v>6977.2650000000003</c:v>
                </c:pt>
                <c:pt idx="219">
                  <c:v>6963.7350999999999</c:v>
                </c:pt>
                <c:pt idx="220">
                  <c:v>6926.5960999999998</c:v>
                </c:pt>
                <c:pt idx="221">
                  <c:v>6944.4718999999996</c:v>
                </c:pt>
                <c:pt idx="222">
                  <c:v>6940.0095000000001</c:v>
                </c:pt>
                <c:pt idx="223">
                  <c:v>6796.8608000000004</c:v>
                </c:pt>
                <c:pt idx="224">
                  <c:v>6875.6153000000004</c:v>
                </c:pt>
                <c:pt idx="225">
                  <c:v>6913.3519999999999</c:v>
                </c:pt>
                <c:pt idx="226">
                  <c:v>6915.6106</c:v>
                </c:pt>
                <c:pt idx="227">
                  <c:v>6950.2322000000004</c:v>
                </c:pt>
                <c:pt idx="228">
                  <c:v>6978.5968999999996</c:v>
                </c:pt>
                <c:pt idx="229">
                  <c:v>6978.0294000000004</c:v>
                </c:pt>
                <c:pt idx="230">
                  <c:v>6969.0069000000003</c:v>
                </c:pt>
                <c:pt idx="231">
                  <c:v>6939.0294999999996</c:v>
                </c:pt>
                <c:pt idx="232">
                  <c:v>6976.4441999999999</c:v>
                </c:pt>
                <c:pt idx="233">
                  <c:v>6917.8117000000002</c:v>
                </c:pt>
                <c:pt idx="234">
                  <c:v>6882.7210999999998</c:v>
                </c:pt>
                <c:pt idx="235">
                  <c:v>6798.3995000000004</c:v>
                </c:pt>
                <c:pt idx="236">
                  <c:v>6932.2977000000001</c:v>
                </c:pt>
                <c:pt idx="237">
                  <c:v>6964.8198000000002</c:v>
                </c:pt>
                <c:pt idx="238">
                  <c:v>6941.8125</c:v>
                </c:pt>
                <c:pt idx="239">
                  <c:v>6941.4709999999995</c:v>
                </c:pt>
                <c:pt idx="240">
                  <c:v>6832.7614999999996</c:v>
                </c:pt>
                <c:pt idx="241">
                  <c:v>6836.1720999999998</c:v>
                </c:pt>
                <c:pt idx="242">
                  <c:v>6843.2232999999997</c:v>
                </c:pt>
                <c:pt idx="243">
                  <c:v>6881.3145999999997</c:v>
                </c:pt>
                <c:pt idx="244">
                  <c:v>6861.8927999999996</c:v>
                </c:pt>
                <c:pt idx="245">
                  <c:v>6909.5065999999997</c:v>
                </c:pt>
                <c:pt idx="246">
                  <c:v>6837.7545</c:v>
                </c:pt>
                <c:pt idx="247">
                  <c:v>6890.0722999999998</c:v>
                </c:pt>
                <c:pt idx="248">
                  <c:v>6946.1266999999998</c:v>
                </c:pt>
                <c:pt idx="249">
                  <c:v>6908.8647000000001</c:v>
                </c:pt>
                <c:pt idx="250">
                  <c:v>6908.8647000000001</c:v>
                </c:pt>
                <c:pt idx="251">
                  <c:v>6878.8784999999998</c:v>
                </c:pt>
              </c:numCache>
            </c:numRef>
          </c:val>
          <c:smooth val="0"/>
          <c:extLst>
            <c:ext xmlns:c16="http://schemas.microsoft.com/office/drawing/2014/chart" uri="{C3380CC4-5D6E-409C-BE32-E72D297353CC}">
              <c16:uniqueId val="{00000000-C7EB-407E-9C7C-0CF6A3914536}"/>
            </c:ext>
          </c:extLst>
        </c:ser>
        <c:ser>
          <c:idx val="1"/>
          <c:order val="1"/>
          <c:tx>
            <c:strRef>
              <c:f>'SP5'!$C$1</c:f>
              <c:strCache>
                <c:ptCount val="1"/>
                <c:pt idx="0">
                  <c:v> 50-DMA </c:v>
                </c:pt>
              </c:strCache>
            </c:strRef>
          </c:tx>
          <c:spPr>
            <a:ln w="28575" cap="rnd">
              <a:solidFill>
                <a:schemeClr val="accent1"/>
              </a:solidFill>
              <a:round/>
            </a:ln>
            <a:effectLst/>
          </c:spPr>
          <c:marker>
            <c:symbol val="none"/>
          </c:marker>
          <c:cat>
            <c:numRef>
              <c:f>'SP5'!$A$2:$A$253</c:f>
              <c:numCache>
                <c:formatCode>m/d/yyyy</c:formatCode>
                <c:ptCount val="252"/>
                <c:pt idx="0">
                  <c:v>45716</c:v>
                </c:pt>
                <c:pt idx="1">
                  <c:v>45719</c:v>
                </c:pt>
                <c:pt idx="2">
                  <c:v>45720</c:v>
                </c:pt>
                <c:pt idx="3">
                  <c:v>45721</c:v>
                </c:pt>
                <c:pt idx="4">
                  <c:v>45722</c:v>
                </c:pt>
                <c:pt idx="5">
                  <c:v>45723</c:v>
                </c:pt>
                <c:pt idx="6">
                  <c:v>45726</c:v>
                </c:pt>
                <c:pt idx="7">
                  <c:v>45727</c:v>
                </c:pt>
                <c:pt idx="8">
                  <c:v>45728</c:v>
                </c:pt>
                <c:pt idx="9">
                  <c:v>45729</c:v>
                </c:pt>
                <c:pt idx="10">
                  <c:v>45730</c:v>
                </c:pt>
                <c:pt idx="11">
                  <c:v>45733</c:v>
                </c:pt>
                <c:pt idx="12">
                  <c:v>45734</c:v>
                </c:pt>
                <c:pt idx="13">
                  <c:v>45735</c:v>
                </c:pt>
                <c:pt idx="14">
                  <c:v>45736</c:v>
                </c:pt>
                <c:pt idx="15">
                  <c:v>45737</c:v>
                </c:pt>
                <c:pt idx="16">
                  <c:v>45740</c:v>
                </c:pt>
                <c:pt idx="17">
                  <c:v>45741</c:v>
                </c:pt>
                <c:pt idx="18">
                  <c:v>45742</c:v>
                </c:pt>
                <c:pt idx="19">
                  <c:v>45743</c:v>
                </c:pt>
                <c:pt idx="20">
                  <c:v>45744</c:v>
                </c:pt>
                <c:pt idx="21">
                  <c:v>45747</c:v>
                </c:pt>
                <c:pt idx="22">
                  <c:v>45748</c:v>
                </c:pt>
                <c:pt idx="23">
                  <c:v>45749</c:v>
                </c:pt>
                <c:pt idx="24">
                  <c:v>45750</c:v>
                </c:pt>
                <c:pt idx="25">
                  <c:v>45751</c:v>
                </c:pt>
                <c:pt idx="26">
                  <c:v>45754</c:v>
                </c:pt>
                <c:pt idx="27">
                  <c:v>45755</c:v>
                </c:pt>
                <c:pt idx="28">
                  <c:v>45756</c:v>
                </c:pt>
                <c:pt idx="29">
                  <c:v>45757</c:v>
                </c:pt>
                <c:pt idx="30">
                  <c:v>45758</c:v>
                </c:pt>
                <c:pt idx="31">
                  <c:v>45761</c:v>
                </c:pt>
                <c:pt idx="32">
                  <c:v>45762</c:v>
                </c:pt>
                <c:pt idx="33">
                  <c:v>45763</c:v>
                </c:pt>
                <c:pt idx="34">
                  <c:v>45764</c:v>
                </c:pt>
                <c:pt idx="35">
                  <c:v>45768</c:v>
                </c:pt>
                <c:pt idx="36">
                  <c:v>45769</c:v>
                </c:pt>
                <c:pt idx="37">
                  <c:v>45770</c:v>
                </c:pt>
                <c:pt idx="38">
                  <c:v>45771</c:v>
                </c:pt>
                <c:pt idx="39">
                  <c:v>45772</c:v>
                </c:pt>
                <c:pt idx="40">
                  <c:v>45775</c:v>
                </c:pt>
                <c:pt idx="41">
                  <c:v>45776</c:v>
                </c:pt>
                <c:pt idx="42">
                  <c:v>45777</c:v>
                </c:pt>
                <c:pt idx="43">
                  <c:v>45778</c:v>
                </c:pt>
                <c:pt idx="44">
                  <c:v>45779</c:v>
                </c:pt>
                <c:pt idx="45">
                  <c:v>45782</c:v>
                </c:pt>
                <c:pt idx="46">
                  <c:v>45783</c:v>
                </c:pt>
                <c:pt idx="47">
                  <c:v>45784</c:v>
                </c:pt>
                <c:pt idx="48">
                  <c:v>45785</c:v>
                </c:pt>
                <c:pt idx="49">
                  <c:v>45786</c:v>
                </c:pt>
                <c:pt idx="50">
                  <c:v>45789</c:v>
                </c:pt>
                <c:pt idx="51">
                  <c:v>45790</c:v>
                </c:pt>
                <c:pt idx="52">
                  <c:v>45791</c:v>
                </c:pt>
                <c:pt idx="53">
                  <c:v>45792</c:v>
                </c:pt>
                <c:pt idx="54">
                  <c:v>45793</c:v>
                </c:pt>
                <c:pt idx="55">
                  <c:v>45796</c:v>
                </c:pt>
                <c:pt idx="56">
                  <c:v>45797</c:v>
                </c:pt>
                <c:pt idx="57">
                  <c:v>45798</c:v>
                </c:pt>
                <c:pt idx="58">
                  <c:v>45799</c:v>
                </c:pt>
                <c:pt idx="59">
                  <c:v>45800</c:v>
                </c:pt>
                <c:pt idx="60">
                  <c:v>45804</c:v>
                </c:pt>
                <c:pt idx="61">
                  <c:v>45805</c:v>
                </c:pt>
                <c:pt idx="62">
                  <c:v>45806</c:v>
                </c:pt>
                <c:pt idx="63">
                  <c:v>45807</c:v>
                </c:pt>
                <c:pt idx="64">
                  <c:v>45810</c:v>
                </c:pt>
                <c:pt idx="65">
                  <c:v>45811</c:v>
                </c:pt>
                <c:pt idx="66">
                  <c:v>45812</c:v>
                </c:pt>
                <c:pt idx="67">
                  <c:v>45813</c:v>
                </c:pt>
                <c:pt idx="68">
                  <c:v>45814</c:v>
                </c:pt>
                <c:pt idx="69">
                  <c:v>45817</c:v>
                </c:pt>
                <c:pt idx="70">
                  <c:v>45818</c:v>
                </c:pt>
                <c:pt idx="71">
                  <c:v>45819</c:v>
                </c:pt>
                <c:pt idx="72">
                  <c:v>45820</c:v>
                </c:pt>
                <c:pt idx="73">
                  <c:v>45821</c:v>
                </c:pt>
                <c:pt idx="74">
                  <c:v>45824</c:v>
                </c:pt>
                <c:pt idx="75">
                  <c:v>45825</c:v>
                </c:pt>
                <c:pt idx="76">
                  <c:v>45826</c:v>
                </c:pt>
                <c:pt idx="77">
                  <c:v>45828</c:v>
                </c:pt>
                <c:pt idx="78">
                  <c:v>45831</c:v>
                </c:pt>
                <c:pt idx="79">
                  <c:v>45832</c:v>
                </c:pt>
                <c:pt idx="80">
                  <c:v>45833</c:v>
                </c:pt>
                <c:pt idx="81">
                  <c:v>45834</c:v>
                </c:pt>
                <c:pt idx="82">
                  <c:v>45835</c:v>
                </c:pt>
                <c:pt idx="83">
                  <c:v>45838</c:v>
                </c:pt>
                <c:pt idx="84">
                  <c:v>45839</c:v>
                </c:pt>
                <c:pt idx="85">
                  <c:v>45840</c:v>
                </c:pt>
                <c:pt idx="86">
                  <c:v>45841</c:v>
                </c:pt>
                <c:pt idx="87">
                  <c:v>45845</c:v>
                </c:pt>
                <c:pt idx="88">
                  <c:v>45846</c:v>
                </c:pt>
                <c:pt idx="89">
                  <c:v>45847</c:v>
                </c:pt>
                <c:pt idx="90">
                  <c:v>45848</c:v>
                </c:pt>
                <c:pt idx="91">
                  <c:v>45849</c:v>
                </c:pt>
                <c:pt idx="92">
                  <c:v>45852</c:v>
                </c:pt>
                <c:pt idx="93">
                  <c:v>45853</c:v>
                </c:pt>
                <c:pt idx="94">
                  <c:v>45854</c:v>
                </c:pt>
                <c:pt idx="95">
                  <c:v>45855</c:v>
                </c:pt>
                <c:pt idx="96">
                  <c:v>45856</c:v>
                </c:pt>
                <c:pt idx="97">
                  <c:v>45859</c:v>
                </c:pt>
                <c:pt idx="98">
                  <c:v>45860</c:v>
                </c:pt>
                <c:pt idx="99">
                  <c:v>45861</c:v>
                </c:pt>
                <c:pt idx="100">
                  <c:v>45862</c:v>
                </c:pt>
                <c:pt idx="101">
                  <c:v>45863</c:v>
                </c:pt>
                <c:pt idx="102">
                  <c:v>45866</c:v>
                </c:pt>
                <c:pt idx="103">
                  <c:v>45867</c:v>
                </c:pt>
                <c:pt idx="104">
                  <c:v>45868</c:v>
                </c:pt>
                <c:pt idx="105">
                  <c:v>45869</c:v>
                </c:pt>
                <c:pt idx="106">
                  <c:v>45870</c:v>
                </c:pt>
                <c:pt idx="107">
                  <c:v>45873</c:v>
                </c:pt>
                <c:pt idx="108">
                  <c:v>45874</c:v>
                </c:pt>
                <c:pt idx="109">
                  <c:v>45875</c:v>
                </c:pt>
                <c:pt idx="110">
                  <c:v>45876</c:v>
                </c:pt>
                <c:pt idx="111">
                  <c:v>45877</c:v>
                </c:pt>
                <c:pt idx="112">
                  <c:v>45880</c:v>
                </c:pt>
                <c:pt idx="113">
                  <c:v>45881</c:v>
                </c:pt>
                <c:pt idx="114">
                  <c:v>45882</c:v>
                </c:pt>
                <c:pt idx="115">
                  <c:v>45883</c:v>
                </c:pt>
                <c:pt idx="116">
                  <c:v>45884</c:v>
                </c:pt>
                <c:pt idx="117">
                  <c:v>45887</c:v>
                </c:pt>
                <c:pt idx="118">
                  <c:v>45888</c:v>
                </c:pt>
                <c:pt idx="119">
                  <c:v>45889</c:v>
                </c:pt>
                <c:pt idx="120">
                  <c:v>45890</c:v>
                </c:pt>
                <c:pt idx="121">
                  <c:v>45891</c:v>
                </c:pt>
                <c:pt idx="122">
                  <c:v>45894</c:v>
                </c:pt>
                <c:pt idx="123">
                  <c:v>45895</c:v>
                </c:pt>
                <c:pt idx="124">
                  <c:v>45896</c:v>
                </c:pt>
                <c:pt idx="125">
                  <c:v>45897</c:v>
                </c:pt>
                <c:pt idx="126">
                  <c:v>45898</c:v>
                </c:pt>
                <c:pt idx="127">
                  <c:v>45902</c:v>
                </c:pt>
                <c:pt idx="128">
                  <c:v>45903</c:v>
                </c:pt>
                <c:pt idx="129">
                  <c:v>45904</c:v>
                </c:pt>
                <c:pt idx="130">
                  <c:v>45905</c:v>
                </c:pt>
                <c:pt idx="131">
                  <c:v>45908</c:v>
                </c:pt>
                <c:pt idx="132">
                  <c:v>45909</c:v>
                </c:pt>
                <c:pt idx="133">
                  <c:v>45910</c:v>
                </c:pt>
                <c:pt idx="134">
                  <c:v>45911</c:v>
                </c:pt>
                <c:pt idx="135">
                  <c:v>45912</c:v>
                </c:pt>
                <c:pt idx="136">
                  <c:v>45915</c:v>
                </c:pt>
                <c:pt idx="137">
                  <c:v>45916</c:v>
                </c:pt>
                <c:pt idx="138">
                  <c:v>45917</c:v>
                </c:pt>
                <c:pt idx="139">
                  <c:v>45918</c:v>
                </c:pt>
                <c:pt idx="140">
                  <c:v>45919</c:v>
                </c:pt>
                <c:pt idx="141">
                  <c:v>45922</c:v>
                </c:pt>
                <c:pt idx="142">
                  <c:v>45923</c:v>
                </c:pt>
                <c:pt idx="143">
                  <c:v>45924</c:v>
                </c:pt>
                <c:pt idx="144">
                  <c:v>45925</c:v>
                </c:pt>
                <c:pt idx="145">
                  <c:v>45926</c:v>
                </c:pt>
                <c:pt idx="146">
                  <c:v>45929</c:v>
                </c:pt>
                <c:pt idx="147">
                  <c:v>45930</c:v>
                </c:pt>
                <c:pt idx="148">
                  <c:v>45931</c:v>
                </c:pt>
                <c:pt idx="149">
                  <c:v>45932</c:v>
                </c:pt>
                <c:pt idx="150">
                  <c:v>45933</c:v>
                </c:pt>
                <c:pt idx="151">
                  <c:v>45936</c:v>
                </c:pt>
                <c:pt idx="152">
                  <c:v>45937</c:v>
                </c:pt>
                <c:pt idx="153">
                  <c:v>45938</c:v>
                </c:pt>
                <c:pt idx="154">
                  <c:v>45939</c:v>
                </c:pt>
                <c:pt idx="155">
                  <c:v>45940</c:v>
                </c:pt>
                <c:pt idx="156">
                  <c:v>45943</c:v>
                </c:pt>
                <c:pt idx="157">
                  <c:v>45944</c:v>
                </c:pt>
                <c:pt idx="158">
                  <c:v>45945</c:v>
                </c:pt>
                <c:pt idx="159">
                  <c:v>45946</c:v>
                </c:pt>
                <c:pt idx="160">
                  <c:v>45947</c:v>
                </c:pt>
                <c:pt idx="161">
                  <c:v>45950</c:v>
                </c:pt>
                <c:pt idx="162">
                  <c:v>45951</c:v>
                </c:pt>
                <c:pt idx="163">
                  <c:v>45952</c:v>
                </c:pt>
                <c:pt idx="164">
                  <c:v>45953</c:v>
                </c:pt>
                <c:pt idx="165">
                  <c:v>45954</c:v>
                </c:pt>
                <c:pt idx="166">
                  <c:v>45957</c:v>
                </c:pt>
                <c:pt idx="167">
                  <c:v>45958</c:v>
                </c:pt>
                <c:pt idx="168">
                  <c:v>45959</c:v>
                </c:pt>
                <c:pt idx="169">
                  <c:v>45960</c:v>
                </c:pt>
                <c:pt idx="170">
                  <c:v>45961</c:v>
                </c:pt>
                <c:pt idx="171">
                  <c:v>45964</c:v>
                </c:pt>
                <c:pt idx="172">
                  <c:v>45965</c:v>
                </c:pt>
                <c:pt idx="173">
                  <c:v>45966</c:v>
                </c:pt>
                <c:pt idx="174">
                  <c:v>45967</c:v>
                </c:pt>
                <c:pt idx="175">
                  <c:v>45968</c:v>
                </c:pt>
                <c:pt idx="176">
                  <c:v>45971</c:v>
                </c:pt>
                <c:pt idx="177">
                  <c:v>45972</c:v>
                </c:pt>
                <c:pt idx="178">
                  <c:v>45973</c:v>
                </c:pt>
                <c:pt idx="179">
                  <c:v>45974</c:v>
                </c:pt>
                <c:pt idx="180">
                  <c:v>45975</c:v>
                </c:pt>
                <c:pt idx="181">
                  <c:v>45978</c:v>
                </c:pt>
                <c:pt idx="182">
                  <c:v>45979</c:v>
                </c:pt>
                <c:pt idx="183">
                  <c:v>45980</c:v>
                </c:pt>
                <c:pt idx="184">
                  <c:v>45981</c:v>
                </c:pt>
                <c:pt idx="185">
                  <c:v>45982</c:v>
                </c:pt>
                <c:pt idx="186">
                  <c:v>45985</c:v>
                </c:pt>
                <c:pt idx="187">
                  <c:v>45986</c:v>
                </c:pt>
                <c:pt idx="188">
                  <c:v>45987</c:v>
                </c:pt>
                <c:pt idx="189">
                  <c:v>45989</c:v>
                </c:pt>
                <c:pt idx="190">
                  <c:v>45992</c:v>
                </c:pt>
                <c:pt idx="191">
                  <c:v>45993</c:v>
                </c:pt>
                <c:pt idx="192">
                  <c:v>45994</c:v>
                </c:pt>
                <c:pt idx="193">
                  <c:v>45995</c:v>
                </c:pt>
                <c:pt idx="194">
                  <c:v>45996</c:v>
                </c:pt>
                <c:pt idx="195">
                  <c:v>45999</c:v>
                </c:pt>
                <c:pt idx="196">
                  <c:v>46000</c:v>
                </c:pt>
                <c:pt idx="197">
                  <c:v>46001</c:v>
                </c:pt>
                <c:pt idx="198">
                  <c:v>46002</c:v>
                </c:pt>
                <c:pt idx="199">
                  <c:v>46003</c:v>
                </c:pt>
                <c:pt idx="200">
                  <c:v>46006</c:v>
                </c:pt>
                <c:pt idx="201">
                  <c:v>46007</c:v>
                </c:pt>
                <c:pt idx="202">
                  <c:v>46008</c:v>
                </c:pt>
                <c:pt idx="203">
                  <c:v>46009</c:v>
                </c:pt>
                <c:pt idx="204">
                  <c:v>46010</c:v>
                </c:pt>
                <c:pt idx="205">
                  <c:v>46013</c:v>
                </c:pt>
                <c:pt idx="206">
                  <c:v>46014</c:v>
                </c:pt>
                <c:pt idx="207">
                  <c:v>46015</c:v>
                </c:pt>
                <c:pt idx="208">
                  <c:v>46017</c:v>
                </c:pt>
                <c:pt idx="209">
                  <c:v>46020</c:v>
                </c:pt>
                <c:pt idx="210">
                  <c:v>46021</c:v>
                </c:pt>
                <c:pt idx="211">
                  <c:v>46022</c:v>
                </c:pt>
                <c:pt idx="212">
                  <c:v>46024</c:v>
                </c:pt>
                <c:pt idx="213">
                  <c:v>46027</c:v>
                </c:pt>
                <c:pt idx="214">
                  <c:v>46028</c:v>
                </c:pt>
                <c:pt idx="215">
                  <c:v>46029</c:v>
                </c:pt>
                <c:pt idx="216">
                  <c:v>46030</c:v>
                </c:pt>
                <c:pt idx="217">
                  <c:v>46031</c:v>
                </c:pt>
                <c:pt idx="218">
                  <c:v>46034</c:v>
                </c:pt>
                <c:pt idx="219">
                  <c:v>46035</c:v>
                </c:pt>
                <c:pt idx="220">
                  <c:v>46036</c:v>
                </c:pt>
                <c:pt idx="221">
                  <c:v>46037</c:v>
                </c:pt>
                <c:pt idx="222">
                  <c:v>46038</c:v>
                </c:pt>
                <c:pt idx="223">
                  <c:v>46042</c:v>
                </c:pt>
                <c:pt idx="224">
                  <c:v>46043</c:v>
                </c:pt>
                <c:pt idx="225">
                  <c:v>46044</c:v>
                </c:pt>
                <c:pt idx="226">
                  <c:v>46045</c:v>
                </c:pt>
                <c:pt idx="227">
                  <c:v>46048</c:v>
                </c:pt>
                <c:pt idx="228">
                  <c:v>46049</c:v>
                </c:pt>
                <c:pt idx="229">
                  <c:v>46050</c:v>
                </c:pt>
                <c:pt idx="230">
                  <c:v>46051</c:v>
                </c:pt>
                <c:pt idx="231">
                  <c:v>46052</c:v>
                </c:pt>
                <c:pt idx="232">
                  <c:v>46055</c:v>
                </c:pt>
                <c:pt idx="233">
                  <c:v>46056</c:v>
                </c:pt>
                <c:pt idx="234">
                  <c:v>46057</c:v>
                </c:pt>
                <c:pt idx="235">
                  <c:v>46058</c:v>
                </c:pt>
                <c:pt idx="236">
                  <c:v>46059</c:v>
                </c:pt>
                <c:pt idx="237">
                  <c:v>46062</c:v>
                </c:pt>
                <c:pt idx="238">
                  <c:v>46063</c:v>
                </c:pt>
                <c:pt idx="239">
                  <c:v>46064</c:v>
                </c:pt>
                <c:pt idx="240">
                  <c:v>46065</c:v>
                </c:pt>
                <c:pt idx="241">
                  <c:v>46066</c:v>
                </c:pt>
                <c:pt idx="242">
                  <c:v>46070</c:v>
                </c:pt>
                <c:pt idx="243">
                  <c:v>46071</c:v>
                </c:pt>
                <c:pt idx="244">
                  <c:v>46072</c:v>
                </c:pt>
                <c:pt idx="245">
                  <c:v>46073</c:v>
                </c:pt>
                <c:pt idx="246">
                  <c:v>46076</c:v>
                </c:pt>
                <c:pt idx="247">
                  <c:v>46077</c:v>
                </c:pt>
                <c:pt idx="248">
                  <c:v>46078</c:v>
                </c:pt>
                <c:pt idx="249">
                  <c:v>46079</c:v>
                </c:pt>
                <c:pt idx="250">
                  <c:v>46079</c:v>
                </c:pt>
                <c:pt idx="251">
                  <c:v>46081</c:v>
                </c:pt>
              </c:numCache>
            </c:numRef>
          </c:cat>
          <c:val>
            <c:numRef>
              <c:f>'SP5'!$C$2:$C$253</c:f>
              <c:numCache>
                <c:formatCode>_(* #,##0.00_);_(* \(#,##0.00\);_(* "-"??_);_(@_)</c:formatCode>
                <c:ptCount val="252"/>
                <c:pt idx="0">
                  <c:v>5998.6264000000001</c:v>
                </c:pt>
                <c:pt idx="1">
                  <c:v>5994.1391999999996</c:v>
                </c:pt>
                <c:pt idx="2">
                  <c:v>5988.6899000000003</c:v>
                </c:pt>
                <c:pt idx="3">
                  <c:v>5988.0991999999997</c:v>
                </c:pt>
                <c:pt idx="4">
                  <c:v>5985.5281000000004</c:v>
                </c:pt>
                <c:pt idx="5">
                  <c:v>5982.3149999999996</c:v>
                </c:pt>
                <c:pt idx="6">
                  <c:v>5975.1247999999996</c:v>
                </c:pt>
                <c:pt idx="7">
                  <c:v>5965.7655000000004</c:v>
                </c:pt>
                <c:pt idx="8">
                  <c:v>5956.9997000000003</c:v>
                </c:pt>
                <c:pt idx="9">
                  <c:v>5948.0132999999996</c:v>
                </c:pt>
                <c:pt idx="10">
                  <c:v>5942.6534000000001</c:v>
                </c:pt>
                <c:pt idx="11">
                  <c:v>5938.5231999999996</c:v>
                </c:pt>
                <c:pt idx="12">
                  <c:v>5933.4453999999996</c:v>
                </c:pt>
                <c:pt idx="13">
                  <c:v>5928.1017000000002</c:v>
                </c:pt>
                <c:pt idx="14">
                  <c:v>5921.8519999999999</c:v>
                </c:pt>
                <c:pt idx="15">
                  <c:v>5917.0227000000004</c:v>
                </c:pt>
                <c:pt idx="16">
                  <c:v>5914.0091000000002</c:v>
                </c:pt>
                <c:pt idx="17">
                  <c:v>5913.0011999999997</c:v>
                </c:pt>
                <c:pt idx="18">
                  <c:v>5910.5209000000004</c:v>
                </c:pt>
                <c:pt idx="19">
                  <c:v>5907.5289000000002</c:v>
                </c:pt>
                <c:pt idx="20">
                  <c:v>5900.1495999999997</c:v>
                </c:pt>
                <c:pt idx="21">
                  <c:v>5893.6397999999999</c:v>
                </c:pt>
                <c:pt idx="22">
                  <c:v>5886.3679000000002</c:v>
                </c:pt>
                <c:pt idx="23">
                  <c:v>5878.8026</c:v>
                </c:pt>
                <c:pt idx="24">
                  <c:v>5865.0055000000002</c:v>
                </c:pt>
                <c:pt idx="25">
                  <c:v>5844.1129000000001</c:v>
                </c:pt>
                <c:pt idx="26">
                  <c:v>5823.3329000000003</c:v>
                </c:pt>
                <c:pt idx="27">
                  <c:v>5802.7428</c:v>
                </c:pt>
                <c:pt idx="28">
                  <c:v>5790.5267999999996</c:v>
                </c:pt>
                <c:pt idx="29">
                  <c:v>5775.1017000000002</c:v>
                </c:pt>
                <c:pt idx="30">
                  <c:v>5760.9453999999996</c:v>
                </c:pt>
                <c:pt idx="31">
                  <c:v>5748.2542999999996</c:v>
                </c:pt>
                <c:pt idx="32">
                  <c:v>5736.2956000000004</c:v>
                </c:pt>
                <c:pt idx="33">
                  <c:v>5721.0520999999999</c:v>
                </c:pt>
                <c:pt idx="34">
                  <c:v>5705.4764999999998</c:v>
                </c:pt>
                <c:pt idx="35">
                  <c:v>5686.9691999999995</c:v>
                </c:pt>
                <c:pt idx="36">
                  <c:v>5672.2046</c:v>
                </c:pt>
                <c:pt idx="37">
                  <c:v>5658.3931000000002</c:v>
                </c:pt>
                <c:pt idx="38">
                  <c:v>5646.7184999999999</c:v>
                </c:pt>
                <c:pt idx="39">
                  <c:v>5636.1832000000004</c:v>
                </c:pt>
                <c:pt idx="40">
                  <c:v>5624.4566999999997</c:v>
                </c:pt>
                <c:pt idx="41">
                  <c:v>5613.3806000000004</c:v>
                </c:pt>
                <c:pt idx="42">
                  <c:v>5602.1701999999996</c:v>
                </c:pt>
                <c:pt idx="43">
                  <c:v>5591.37</c:v>
                </c:pt>
                <c:pt idx="44">
                  <c:v>5582.7530999999999</c:v>
                </c:pt>
                <c:pt idx="45">
                  <c:v>5575.4982</c:v>
                </c:pt>
                <c:pt idx="46">
                  <c:v>5567.9714000000004</c:v>
                </c:pt>
                <c:pt idx="47">
                  <c:v>5561.4920000000002</c:v>
                </c:pt>
                <c:pt idx="48">
                  <c:v>5555.6495999999997</c:v>
                </c:pt>
                <c:pt idx="49">
                  <c:v>5551.6163999999999</c:v>
                </c:pt>
                <c:pt idx="50">
                  <c:v>5549.41</c:v>
                </c:pt>
                <c:pt idx="51">
                  <c:v>5550.1467000000002</c:v>
                </c:pt>
                <c:pt idx="52">
                  <c:v>5552.4354000000003</c:v>
                </c:pt>
                <c:pt idx="53">
                  <c:v>5553.9214000000002</c:v>
                </c:pt>
                <c:pt idx="54">
                  <c:v>5558.3185000000003</c:v>
                </c:pt>
                <c:pt idx="55">
                  <c:v>5562.1867000000002</c:v>
                </c:pt>
                <c:pt idx="56">
                  <c:v>5568.7047000000002</c:v>
                </c:pt>
                <c:pt idx="57">
                  <c:v>5574.1556</c:v>
                </c:pt>
                <c:pt idx="58">
                  <c:v>5579.0096999999996</c:v>
                </c:pt>
                <c:pt idx="59">
                  <c:v>5584.6355999999996</c:v>
                </c:pt>
                <c:pt idx="60">
                  <c:v>5590.2875999999997</c:v>
                </c:pt>
                <c:pt idx="61">
                  <c:v>5594.5563000000002</c:v>
                </c:pt>
                <c:pt idx="62">
                  <c:v>5600.5065999999997</c:v>
                </c:pt>
                <c:pt idx="63">
                  <c:v>5605.2345999999998</c:v>
                </c:pt>
                <c:pt idx="64">
                  <c:v>5610.6956</c:v>
                </c:pt>
                <c:pt idx="65">
                  <c:v>5616.7515999999996</c:v>
                </c:pt>
                <c:pt idx="66">
                  <c:v>5620.8166000000001</c:v>
                </c:pt>
                <c:pt idx="67">
                  <c:v>5624.0695999999998</c:v>
                </c:pt>
                <c:pt idx="68">
                  <c:v>5629.8325999999997</c:v>
                </c:pt>
                <c:pt idx="69">
                  <c:v>5636.0841</c:v>
                </c:pt>
                <c:pt idx="70">
                  <c:v>5645.2412999999997</c:v>
                </c:pt>
                <c:pt idx="71">
                  <c:v>5653.4490999999998</c:v>
                </c:pt>
                <c:pt idx="72">
                  <c:v>5661.6927999999998</c:v>
                </c:pt>
                <c:pt idx="73">
                  <c:v>5667.8126000000002</c:v>
                </c:pt>
                <c:pt idx="74">
                  <c:v>5680.5443999999998</c:v>
                </c:pt>
                <c:pt idx="75">
                  <c:v>5698.7172</c:v>
                </c:pt>
                <c:pt idx="76">
                  <c:v>5717.0896000000002</c:v>
                </c:pt>
                <c:pt idx="77">
                  <c:v>5736.7910000000002</c:v>
                </c:pt>
                <c:pt idx="78">
                  <c:v>5748.1565000000001</c:v>
                </c:pt>
                <c:pt idx="79">
                  <c:v>5764.6390000000001</c:v>
                </c:pt>
                <c:pt idx="80">
                  <c:v>5779.2151000000003</c:v>
                </c:pt>
                <c:pt idx="81">
                  <c:v>5793.9160000000002</c:v>
                </c:pt>
                <c:pt idx="82">
                  <c:v>5809.4448000000002</c:v>
                </c:pt>
                <c:pt idx="83">
                  <c:v>5828.0299000000005</c:v>
                </c:pt>
                <c:pt idx="84">
                  <c:v>5846.3360000000002</c:v>
                </c:pt>
                <c:pt idx="85">
                  <c:v>5867.7203</c:v>
                </c:pt>
                <c:pt idx="86">
                  <c:v>5887.5520999999999</c:v>
                </c:pt>
                <c:pt idx="87">
                  <c:v>5904.6343999999999</c:v>
                </c:pt>
                <c:pt idx="88">
                  <c:v>5919.4494000000004</c:v>
                </c:pt>
                <c:pt idx="89">
                  <c:v>5934.2105000000001</c:v>
                </c:pt>
                <c:pt idx="90">
                  <c:v>5949.2448000000004</c:v>
                </c:pt>
                <c:pt idx="91">
                  <c:v>5963.2232000000004</c:v>
                </c:pt>
                <c:pt idx="92">
                  <c:v>5977.2130999999999</c:v>
                </c:pt>
                <c:pt idx="93">
                  <c:v>5990.0054</c:v>
                </c:pt>
                <c:pt idx="94">
                  <c:v>6001.5457999999999</c:v>
                </c:pt>
                <c:pt idx="95">
                  <c:v>6014.4853999999996</c:v>
                </c:pt>
                <c:pt idx="96">
                  <c:v>6028.2830000000004</c:v>
                </c:pt>
                <c:pt idx="97">
                  <c:v>6041.7691999999997</c:v>
                </c:pt>
                <c:pt idx="98">
                  <c:v>6054.6828999999998</c:v>
                </c:pt>
                <c:pt idx="99">
                  <c:v>6068.6629000000003</c:v>
                </c:pt>
                <c:pt idx="100">
                  <c:v>6079.0461999999998</c:v>
                </c:pt>
                <c:pt idx="101">
                  <c:v>6089.0879999999997</c:v>
                </c:pt>
                <c:pt idx="102">
                  <c:v>6099.0316999999995</c:v>
                </c:pt>
                <c:pt idx="103">
                  <c:v>6108.1103999999996</c:v>
                </c:pt>
                <c:pt idx="104">
                  <c:v>6116.2007999999996</c:v>
                </c:pt>
                <c:pt idx="105">
                  <c:v>6123.7165999999997</c:v>
                </c:pt>
                <c:pt idx="106">
                  <c:v>6129.6674999999996</c:v>
                </c:pt>
                <c:pt idx="107">
                  <c:v>6139.3739999999998</c:v>
                </c:pt>
                <c:pt idx="108">
                  <c:v>6148.5177999999996</c:v>
                </c:pt>
                <c:pt idx="109">
                  <c:v>6159.3626000000004</c:v>
                </c:pt>
                <c:pt idx="110">
                  <c:v>6167.7317999999996</c:v>
                </c:pt>
                <c:pt idx="111">
                  <c:v>6177.7497000000003</c:v>
                </c:pt>
                <c:pt idx="112">
                  <c:v>6186.9753000000001</c:v>
                </c:pt>
                <c:pt idx="113">
                  <c:v>6197.6567999999997</c:v>
                </c:pt>
                <c:pt idx="114">
                  <c:v>6208.2695999999996</c:v>
                </c:pt>
                <c:pt idx="115">
                  <c:v>6218.2330000000002</c:v>
                </c:pt>
                <c:pt idx="116">
                  <c:v>6227.8127000000004</c:v>
                </c:pt>
                <c:pt idx="117">
                  <c:v>6238.0096000000003</c:v>
                </c:pt>
                <c:pt idx="118">
                  <c:v>6246.23</c:v>
                </c:pt>
                <c:pt idx="119">
                  <c:v>6254.0279</c:v>
                </c:pt>
                <c:pt idx="120">
                  <c:v>6260.6553000000004</c:v>
                </c:pt>
                <c:pt idx="121">
                  <c:v>6269.5487000000003</c:v>
                </c:pt>
                <c:pt idx="122">
                  <c:v>6277.43</c:v>
                </c:pt>
                <c:pt idx="123">
                  <c:v>6287.2093999999997</c:v>
                </c:pt>
                <c:pt idx="124">
                  <c:v>6296.1752999999999</c:v>
                </c:pt>
                <c:pt idx="125">
                  <c:v>6306.5581000000002</c:v>
                </c:pt>
                <c:pt idx="126">
                  <c:v>6316.1460999999999</c:v>
                </c:pt>
                <c:pt idx="127">
                  <c:v>6325.1000999999997</c:v>
                </c:pt>
                <c:pt idx="128">
                  <c:v>6333.5618999999997</c:v>
                </c:pt>
                <c:pt idx="129">
                  <c:v>6341.7599</c:v>
                </c:pt>
                <c:pt idx="130">
                  <c:v>6349.5465999999997</c:v>
                </c:pt>
                <c:pt idx="131">
                  <c:v>6356.6292999999996</c:v>
                </c:pt>
                <c:pt idx="132">
                  <c:v>6363.42</c:v>
                </c:pt>
                <c:pt idx="133">
                  <c:v>6369.9618</c:v>
                </c:pt>
                <c:pt idx="134">
                  <c:v>6377.7511000000004</c:v>
                </c:pt>
                <c:pt idx="135">
                  <c:v>6384.8883999999998</c:v>
                </c:pt>
                <c:pt idx="136">
                  <c:v>6391.6068999999998</c:v>
                </c:pt>
                <c:pt idx="137">
                  <c:v>6399.1424999999999</c:v>
                </c:pt>
                <c:pt idx="138">
                  <c:v>6406.6390000000001</c:v>
                </c:pt>
                <c:pt idx="139">
                  <c:v>6414.0128999999997</c:v>
                </c:pt>
                <c:pt idx="140">
                  <c:v>6421.6911</c:v>
                </c:pt>
                <c:pt idx="141">
                  <c:v>6430.3711999999996</c:v>
                </c:pt>
                <c:pt idx="142">
                  <c:v>6438.1383999999998</c:v>
                </c:pt>
                <c:pt idx="143">
                  <c:v>6446.0227999999997</c:v>
                </c:pt>
                <c:pt idx="144">
                  <c:v>6452.8432000000003</c:v>
                </c:pt>
                <c:pt idx="145">
                  <c:v>6459.7699000000002</c:v>
                </c:pt>
                <c:pt idx="146">
                  <c:v>6467.0582999999997</c:v>
                </c:pt>
                <c:pt idx="147">
                  <c:v>6474.7156000000004</c:v>
                </c:pt>
                <c:pt idx="148">
                  <c:v>6482.7471999999998</c:v>
                </c:pt>
                <c:pt idx="149">
                  <c:v>6489.8757999999998</c:v>
                </c:pt>
                <c:pt idx="150">
                  <c:v>6496.9246000000003</c:v>
                </c:pt>
                <c:pt idx="151">
                  <c:v>6503.9574000000002</c:v>
                </c:pt>
                <c:pt idx="152">
                  <c:v>6510.4538000000002</c:v>
                </c:pt>
                <c:pt idx="153">
                  <c:v>6518.1108999999997</c:v>
                </c:pt>
                <c:pt idx="154">
                  <c:v>6525.5551999999998</c:v>
                </c:pt>
                <c:pt idx="155">
                  <c:v>6529.8175000000001</c:v>
                </c:pt>
                <c:pt idx="156">
                  <c:v>6538.1517999999996</c:v>
                </c:pt>
                <c:pt idx="157">
                  <c:v>6544.4391999999998</c:v>
                </c:pt>
                <c:pt idx="158">
                  <c:v>6551.8764000000001</c:v>
                </c:pt>
                <c:pt idx="159">
                  <c:v>6557.5567000000001</c:v>
                </c:pt>
                <c:pt idx="160">
                  <c:v>6564.0370000000003</c:v>
                </c:pt>
                <c:pt idx="161">
                  <c:v>6570.9506000000001</c:v>
                </c:pt>
                <c:pt idx="162">
                  <c:v>6578.1886000000004</c:v>
                </c:pt>
                <c:pt idx="163">
                  <c:v>6583.2614000000003</c:v>
                </c:pt>
                <c:pt idx="164">
                  <c:v>6588.6985000000004</c:v>
                </c:pt>
                <c:pt idx="165">
                  <c:v>6595.1616000000004</c:v>
                </c:pt>
                <c:pt idx="166">
                  <c:v>6603.6688000000004</c:v>
                </c:pt>
                <c:pt idx="167">
                  <c:v>6612.5036</c:v>
                </c:pt>
                <c:pt idx="168">
                  <c:v>6622.0879000000004</c:v>
                </c:pt>
                <c:pt idx="169">
                  <c:v>6630.6189999999997</c:v>
                </c:pt>
                <c:pt idx="170">
                  <c:v>6640.0195999999996</c:v>
                </c:pt>
                <c:pt idx="171">
                  <c:v>6647.7205999999996</c:v>
                </c:pt>
                <c:pt idx="172">
                  <c:v>6654.3652000000002</c:v>
                </c:pt>
                <c:pt idx="173">
                  <c:v>6660.9723000000004</c:v>
                </c:pt>
                <c:pt idx="174">
                  <c:v>6665.7506000000003</c:v>
                </c:pt>
                <c:pt idx="175">
                  <c:v>6670.2894999999999</c:v>
                </c:pt>
                <c:pt idx="176">
                  <c:v>6677.7327999999998</c:v>
                </c:pt>
                <c:pt idx="177">
                  <c:v>6686.3543</c:v>
                </c:pt>
                <c:pt idx="178">
                  <c:v>6694.4074000000001</c:v>
                </c:pt>
                <c:pt idx="179">
                  <c:v>6699.1154999999999</c:v>
                </c:pt>
                <c:pt idx="180">
                  <c:v>6704.1678000000002</c:v>
                </c:pt>
                <c:pt idx="181">
                  <c:v>6707.7129000000004</c:v>
                </c:pt>
                <c:pt idx="182">
                  <c:v>6709.8071</c:v>
                </c:pt>
                <c:pt idx="183">
                  <c:v>6712.0093999999999</c:v>
                </c:pt>
                <c:pt idx="184">
                  <c:v>6711.0352999999996</c:v>
                </c:pt>
                <c:pt idx="185">
                  <c:v>6711.4093000000003</c:v>
                </c:pt>
                <c:pt idx="186">
                  <c:v>6713.2061000000003</c:v>
                </c:pt>
                <c:pt idx="187">
                  <c:v>6716.3885</c:v>
                </c:pt>
                <c:pt idx="188">
                  <c:v>6720.6337999999996</c:v>
                </c:pt>
                <c:pt idx="189">
                  <c:v>6724.9763000000003</c:v>
                </c:pt>
                <c:pt idx="190">
                  <c:v>6727.9414999999999</c:v>
                </c:pt>
                <c:pt idx="191">
                  <c:v>6730.6539000000002</c:v>
                </c:pt>
                <c:pt idx="192">
                  <c:v>6734.5099</c:v>
                </c:pt>
                <c:pt idx="193">
                  <c:v>6738.8927999999996</c:v>
                </c:pt>
                <c:pt idx="194">
                  <c:v>6744.2066000000004</c:v>
                </c:pt>
                <c:pt idx="195">
                  <c:v>6748.2628000000004</c:v>
                </c:pt>
                <c:pt idx="196">
                  <c:v>6751.8487999999998</c:v>
                </c:pt>
                <c:pt idx="197">
                  <c:v>6755.8132999999998</c:v>
                </c:pt>
                <c:pt idx="198">
                  <c:v>6759.6090999999997</c:v>
                </c:pt>
                <c:pt idx="199">
                  <c:v>6761.8503000000001</c:v>
                </c:pt>
                <c:pt idx="200">
                  <c:v>6763.8647000000001</c:v>
                </c:pt>
                <c:pt idx="201">
                  <c:v>6765.0641999999998</c:v>
                </c:pt>
                <c:pt idx="202">
                  <c:v>6765.201</c:v>
                </c:pt>
                <c:pt idx="203">
                  <c:v>6765.6217999999999</c:v>
                </c:pt>
                <c:pt idx="204">
                  <c:v>6767.6095999999998</c:v>
                </c:pt>
                <c:pt idx="205">
                  <c:v>6774.1291000000001</c:v>
                </c:pt>
                <c:pt idx="206">
                  <c:v>6779.2304999999997</c:v>
                </c:pt>
                <c:pt idx="207">
                  <c:v>6784.9853999999996</c:v>
                </c:pt>
                <c:pt idx="208">
                  <c:v>6790.1629999999996</c:v>
                </c:pt>
                <c:pt idx="209">
                  <c:v>6795.6963999999998</c:v>
                </c:pt>
                <c:pt idx="210">
                  <c:v>6800.3410000000003</c:v>
                </c:pt>
                <c:pt idx="211">
                  <c:v>6802.5486000000001</c:v>
                </c:pt>
                <c:pt idx="212">
                  <c:v>6805.0110000000004</c:v>
                </c:pt>
                <c:pt idx="213">
                  <c:v>6809.0639000000001</c:v>
                </c:pt>
                <c:pt idx="214">
                  <c:v>6813.1916000000001</c:v>
                </c:pt>
                <c:pt idx="215">
                  <c:v>6815.7763000000004</c:v>
                </c:pt>
                <c:pt idx="216">
                  <c:v>6816.7022999999999</c:v>
                </c:pt>
                <c:pt idx="217">
                  <c:v>6818.2102000000004</c:v>
                </c:pt>
                <c:pt idx="218">
                  <c:v>6819.9438</c:v>
                </c:pt>
                <c:pt idx="219">
                  <c:v>6822.7717000000002</c:v>
                </c:pt>
                <c:pt idx="220">
                  <c:v>6824.4996000000001</c:v>
                </c:pt>
                <c:pt idx="221">
                  <c:v>6826.3496999999998</c:v>
                </c:pt>
                <c:pt idx="222">
                  <c:v>6829.7190000000001</c:v>
                </c:pt>
                <c:pt idx="223">
                  <c:v>6829.7304000000004</c:v>
                </c:pt>
                <c:pt idx="224">
                  <c:v>6832.8362999999999</c:v>
                </c:pt>
                <c:pt idx="225">
                  <c:v>6836.5272999999997</c:v>
                </c:pt>
                <c:pt idx="226">
                  <c:v>6838.1908999999996</c:v>
                </c:pt>
                <c:pt idx="227">
                  <c:v>6840.2632999999996</c:v>
                </c:pt>
                <c:pt idx="228">
                  <c:v>6842.8168999999998</c:v>
                </c:pt>
                <c:pt idx="229">
                  <c:v>6847.6277</c:v>
                </c:pt>
                <c:pt idx="230">
                  <c:v>6852.3256000000001</c:v>
                </c:pt>
                <c:pt idx="231">
                  <c:v>6857.6580000000004</c:v>
                </c:pt>
                <c:pt idx="232">
                  <c:v>6864.8405000000002</c:v>
                </c:pt>
                <c:pt idx="233">
                  <c:v>6870.3535000000002</c:v>
                </c:pt>
                <c:pt idx="234">
                  <c:v>6877.2326999999996</c:v>
                </c:pt>
                <c:pt idx="235">
                  <c:v>6881.1409999999996</c:v>
                </c:pt>
                <c:pt idx="236">
                  <c:v>6885.6845999999996</c:v>
                </c:pt>
                <c:pt idx="237">
                  <c:v>6889.6634000000004</c:v>
                </c:pt>
                <c:pt idx="238">
                  <c:v>6892.2474000000002</c:v>
                </c:pt>
                <c:pt idx="239">
                  <c:v>6894.0950999999995</c:v>
                </c:pt>
                <c:pt idx="240">
                  <c:v>6894.4978000000001</c:v>
                </c:pt>
                <c:pt idx="241">
                  <c:v>6894.6337999999996</c:v>
                </c:pt>
                <c:pt idx="242">
                  <c:v>6894.5038999999997</c:v>
                </c:pt>
                <c:pt idx="243">
                  <c:v>6894.9877999999999</c:v>
                </c:pt>
                <c:pt idx="244">
                  <c:v>6894.8175000000001</c:v>
                </c:pt>
                <c:pt idx="245">
                  <c:v>6896.0775000000003</c:v>
                </c:pt>
                <c:pt idx="246">
                  <c:v>6896.0223999999998</c:v>
                </c:pt>
                <c:pt idx="247">
                  <c:v>6896.0901999999996</c:v>
                </c:pt>
                <c:pt idx="248">
                  <c:v>6896.9928</c:v>
                </c:pt>
                <c:pt idx="249">
                  <c:v>6898.6220000000003</c:v>
                </c:pt>
                <c:pt idx="250">
                  <c:v>6898.6220000000003</c:v>
                </c:pt>
                <c:pt idx="251">
                  <c:v>6899.8693999999996</c:v>
                </c:pt>
              </c:numCache>
            </c:numRef>
          </c:val>
          <c:smooth val="0"/>
          <c:extLst>
            <c:ext xmlns:c16="http://schemas.microsoft.com/office/drawing/2014/chart" uri="{C3380CC4-5D6E-409C-BE32-E72D297353CC}">
              <c16:uniqueId val="{00000001-C7EB-407E-9C7C-0CF6A3914536}"/>
            </c:ext>
          </c:extLst>
        </c:ser>
        <c:ser>
          <c:idx val="2"/>
          <c:order val="2"/>
          <c:tx>
            <c:strRef>
              <c:f>'SP5'!$D$1</c:f>
              <c:strCache>
                <c:ptCount val="1"/>
                <c:pt idx="0">
                  <c:v> 200-DMA </c:v>
                </c:pt>
              </c:strCache>
            </c:strRef>
          </c:tx>
          <c:spPr>
            <a:ln w="28575" cap="rnd">
              <a:solidFill>
                <a:srgbClr val="C00000"/>
              </a:solidFill>
              <a:round/>
            </a:ln>
            <a:effectLst/>
          </c:spPr>
          <c:marker>
            <c:symbol val="none"/>
          </c:marker>
          <c:cat>
            <c:numRef>
              <c:f>'SP5'!$A$2:$A$253</c:f>
              <c:numCache>
                <c:formatCode>m/d/yyyy</c:formatCode>
                <c:ptCount val="252"/>
                <c:pt idx="0">
                  <c:v>45716</c:v>
                </c:pt>
                <c:pt idx="1">
                  <c:v>45719</c:v>
                </c:pt>
                <c:pt idx="2">
                  <c:v>45720</c:v>
                </c:pt>
                <c:pt idx="3">
                  <c:v>45721</c:v>
                </c:pt>
                <c:pt idx="4">
                  <c:v>45722</c:v>
                </c:pt>
                <c:pt idx="5">
                  <c:v>45723</c:v>
                </c:pt>
                <c:pt idx="6">
                  <c:v>45726</c:v>
                </c:pt>
                <c:pt idx="7">
                  <c:v>45727</c:v>
                </c:pt>
                <c:pt idx="8">
                  <c:v>45728</c:v>
                </c:pt>
                <c:pt idx="9">
                  <c:v>45729</c:v>
                </c:pt>
                <c:pt idx="10">
                  <c:v>45730</c:v>
                </c:pt>
                <c:pt idx="11">
                  <c:v>45733</c:v>
                </c:pt>
                <c:pt idx="12">
                  <c:v>45734</c:v>
                </c:pt>
                <c:pt idx="13">
                  <c:v>45735</c:v>
                </c:pt>
                <c:pt idx="14">
                  <c:v>45736</c:v>
                </c:pt>
                <c:pt idx="15">
                  <c:v>45737</c:v>
                </c:pt>
                <c:pt idx="16">
                  <c:v>45740</c:v>
                </c:pt>
                <c:pt idx="17">
                  <c:v>45741</c:v>
                </c:pt>
                <c:pt idx="18">
                  <c:v>45742</c:v>
                </c:pt>
                <c:pt idx="19">
                  <c:v>45743</c:v>
                </c:pt>
                <c:pt idx="20">
                  <c:v>45744</c:v>
                </c:pt>
                <c:pt idx="21">
                  <c:v>45747</c:v>
                </c:pt>
                <c:pt idx="22">
                  <c:v>45748</c:v>
                </c:pt>
                <c:pt idx="23">
                  <c:v>45749</c:v>
                </c:pt>
                <c:pt idx="24">
                  <c:v>45750</c:v>
                </c:pt>
                <c:pt idx="25">
                  <c:v>45751</c:v>
                </c:pt>
                <c:pt idx="26">
                  <c:v>45754</c:v>
                </c:pt>
                <c:pt idx="27">
                  <c:v>45755</c:v>
                </c:pt>
                <c:pt idx="28">
                  <c:v>45756</c:v>
                </c:pt>
                <c:pt idx="29">
                  <c:v>45757</c:v>
                </c:pt>
                <c:pt idx="30">
                  <c:v>45758</c:v>
                </c:pt>
                <c:pt idx="31">
                  <c:v>45761</c:v>
                </c:pt>
                <c:pt idx="32">
                  <c:v>45762</c:v>
                </c:pt>
                <c:pt idx="33">
                  <c:v>45763</c:v>
                </c:pt>
                <c:pt idx="34">
                  <c:v>45764</c:v>
                </c:pt>
                <c:pt idx="35">
                  <c:v>45768</c:v>
                </c:pt>
                <c:pt idx="36">
                  <c:v>45769</c:v>
                </c:pt>
                <c:pt idx="37">
                  <c:v>45770</c:v>
                </c:pt>
                <c:pt idx="38">
                  <c:v>45771</c:v>
                </c:pt>
                <c:pt idx="39">
                  <c:v>45772</c:v>
                </c:pt>
                <c:pt idx="40">
                  <c:v>45775</c:v>
                </c:pt>
                <c:pt idx="41">
                  <c:v>45776</c:v>
                </c:pt>
                <c:pt idx="42">
                  <c:v>45777</c:v>
                </c:pt>
                <c:pt idx="43">
                  <c:v>45778</c:v>
                </c:pt>
                <c:pt idx="44">
                  <c:v>45779</c:v>
                </c:pt>
                <c:pt idx="45">
                  <c:v>45782</c:v>
                </c:pt>
                <c:pt idx="46">
                  <c:v>45783</c:v>
                </c:pt>
                <c:pt idx="47">
                  <c:v>45784</c:v>
                </c:pt>
                <c:pt idx="48">
                  <c:v>45785</c:v>
                </c:pt>
                <c:pt idx="49">
                  <c:v>45786</c:v>
                </c:pt>
                <c:pt idx="50">
                  <c:v>45789</c:v>
                </c:pt>
                <c:pt idx="51">
                  <c:v>45790</c:v>
                </c:pt>
                <c:pt idx="52">
                  <c:v>45791</c:v>
                </c:pt>
                <c:pt idx="53">
                  <c:v>45792</c:v>
                </c:pt>
                <c:pt idx="54">
                  <c:v>45793</c:v>
                </c:pt>
                <c:pt idx="55">
                  <c:v>45796</c:v>
                </c:pt>
                <c:pt idx="56">
                  <c:v>45797</c:v>
                </c:pt>
                <c:pt idx="57">
                  <c:v>45798</c:v>
                </c:pt>
                <c:pt idx="58">
                  <c:v>45799</c:v>
                </c:pt>
                <c:pt idx="59">
                  <c:v>45800</c:v>
                </c:pt>
                <c:pt idx="60">
                  <c:v>45804</c:v>
                </c:pt>
                <c:pt idx="61">
                  <c:v>45805</c:v>
                </c:pt>
                <c:pt idx="62">
                  <c:v>45806</c:v>
                </c:pt>
                <c:pt idx="63">
                  <c:v>45807</c:v>
                </c:pt>
                <c:pt idx="64">
                  <c:v>45810</c:v>
                </c:pt>
                <c:pt idx="65">
                  <c:v>45811</c:v>
                </c:pt>
                <c:pt idx="66">
                  <c:v>45812</c:v>
                </c:pt>
                <c:pt idx="67">
                  <c:v>45813</c:v>
                </c:pt>
                <c:pt idx="68">
                  <c:v>45814</c:v>
                </c:pt>
                <c:pt idx="69">
                  <c:v>45817</c:v>
                </c:pt>
                <c:pt idx="70">
                  <c:v>45818</c:v>
                </c:pt>
                <c:pt idx="71">
                  <c:v>45819</c:v>
                </c:pt>
                <c:pt idx="72">
                  <c:v>45820</c:v>
                </c:pt>
                <c:pt idx="73">
                  <c:v>45821</c:v>
                </c:pt>
                <c:pt idx="74">
                  <c:v>45824</c:v>
                </c:pt>
                <c:pt idx="75">
                  <c:v>45825</c:v>
                </c:pt>
                <c:pt idx="76">
                  <c:v>45826</c:v>
                </c:pt>
                <c:pt idx="77">
                  <c:v>45828</c:v>
                </c:pt>
                <c:pt idx="78">
                  <c:v>45831</c:v>
                </c:pt>
                <c:pt idx="79">
                  <c:v>45832</c:v>
                </c:pt>
                <c:pt idx="80">
                  <c:v>45833</c:v>
                </c:pt>
                <c:pt idx="81">
                  <c:v>45834</c:v>
                </c:pt>
                <c:pt idx="82">
                  <c:v>45835</c:v>
                </c:pt>
                <c:pt idx="83">
                  <c:v>45838</c:v>
                </c:pt>
                <c:pt idx="84">
                  <c:v>45839</c:v>
                </c:pt>
                <c:pt idx="85">
                  <c:v>45840</c:v>
                </c:pt>
                <c:pt idx="86">
                  <c:v>45841</c:v>
                </c:pt>
                <c:pt idx="87">
                  <c:v>45845</c:v>
                </c:pt>
                <c:pt idx="88">
                  <c:v>45846</c:v>
                </c:pt>
                <c:pt idx="89">
                  <c:v>45847</c:v>
                </c:pt>
                <c:pt idx="90">
                  <c:v>45848</c:v>
                </c:pt>
                <c:pt idx="91">
                  <c:v>45849</c:v>
                </c:pt>
                <c:pt idx="92">
                  <c:v>45852</c:v>
                </c:pt>
                <c:pt idx="93">
                  <c:v>45853</c:v>
                </c:pt>
                <c:pt idx="94">
                  <c:v>45854</c:v>
                </c:pt>
                <c:pt idx="95">
                  <c:v>45855</c:v>
                </c:pt>
                <c:pt idx="96">
                  <c:v>45856</c:v>
                </c:pt>
                <c:pt idx="97">
                  <c:v>45859</c:v>
                </c:pt>
                <c:pt idx="98">
                  <c:v>45860</c:v>
                </c:pt>
                <c:pt idx="99">
                  <c:v>45861</c:v>
                </c:pt>
                <c:pt idx="100">
                  <c:v>45862</c:v>
                </c:pt>
                <c:pt idx="101">
                  <c:v>45863</c:v>
                </c:pt>
                <c:pt idx="102">
                  <c:v>45866</c:v>
                </c:pt>
                <c:pt idx="103">
                  <c:v>45867</c:v>
                </c:pt>
                <c:pt idx="104">
                  <c:v>45868</c:v>
                </c:pt>
                <c:pt idx="105">
                  <c:v>45869</c:v>
                </c:pt>
                <c:pt idx="106">
                  <c:v>45870</c:v>
                </c:pt>
                <c:pt idx="107">
                  <c:v>45873</c:v>
                </c:pt>
                <c:pt idx="108">
                  <c:v>45874</c:v>
                </c:pt>
                <c:pt idx="109">
                  <c:v>45875</c:v>
                </c:pt>
                <c:pt idx="110">
                  <c:v>45876</c:v>
                </c:pt>
                <c:pt idx="111">
                  <c:v>45877</c:v>
                </c:pt>
                <c:pt idx="112">
                  <c:v>45880</c:v>
                </c:pt>
                <c:pt idx="113">
                  <c:v>45881</c:v>
                </c:pt>
                <c:pt idx="114">
                  <c:v>45882</c:v>
                </c:pt>
                <c:pt idx="115">
                  <c:v>45883</c:v>
                </c:pt>
                <c:pt idx="116">
                  <c:v>45884</c:v>
                </c:pt>
                <c:pt idx="117">
                  <c:v>45887</c:v>
                </c:pt>
                <c:pt idx="118">
                  <c:v>45888</c:v>
                </c:pt>
                <c:pt idx="119">
                  <c:v>45889</c:v>
                </c:pt>
                <c:pt idx="120">
                  <c:v>45890</c:v>
                </c:pt>
                <c:pt idx="121">
                  <c:v>45891</c:v>
                </c:pt>
                <c:pt idx="122">
                  <c:v>45894</c:v>
                </c:pt>
                <c:pt idx="123">
                  <c:v>45895</c:v>
                </c:pt>
                <c:pt idx="124">
                  <c:v>45896</c:v>
                </c:pt>
                <c:pt idx="125">
                  <c:v>45897</c:v>
                </c:pt>
                <c:pt idx="126">
                  <c:v>45898</c:v>
                </c:pt>
                <c:pt idx="127">
                  <c:v>45902</c:v>
                </c:pt>
                <c:pt idx="128">
                  <c:v>45903</c:v>
                </c:pt>
                <c:pt idx="129">
                  <c:v>45904</c:v>
                </c:pt>
                <c:pt idx="130">
                  <c:v>45905</c:v>
                </c:pt>
                <c:pt idx="131">
                  <c:v>45908</c:v>
                </c:pt>
                <c:pt idx="132">
                  <c:v>45909</c:v>
                </c:pt>
                <c:pt idx="133">
                  <c:v>45910</c:v>
                </c:pt>
                <c:pt idx="134">
                  <c:v>45911</c:v>
                </c:pt>
                <c:pt idx="135">
                  <c:v>45912</c:v>
                </c:pt>
                <c:pt idx="136">
                  <c:v>45915</c:v>
                </c:pt>
                <c:pt idx="137">
                  <c:v>45916</c:v>
                </c:pt>
                <c:pt idx="138">
                  <c:v>45917</c:v>
                </c:pt>
                <c:pt idx="139">
                  <c:v>45918</c:v>
                </c:pt>
                <c:pt idx="140">
                  <c:v>45919</c:v>
                </c:pt>
                <c:pt idx="141">
                  <c:v>45922</c:v>
                </c:pt>
                <c:pt idx="142">
                  <c:v>45923</c:v>
                </c:pt>
                <c:pt idx="143">
                  <c:v>45924</c:v>
                </c:pt>
                <c:pt idx="144">
                  <c:v>45925</c:v>
                </c:pt>
                <c:pt idx="145">
                  <c:v>45926</c:v>
                </c:pt>
                <c:pt idx="146">
                  <c:v>45929</c:v>
                </c:pt>
                <c:pt idx="147">
                  <c:v>45930</c:v>
                </c:pt>
                <c:pt idx="148">
                  <c:v>45931</c:v>
                </c:pt>
                <c:pt idx="149">
                  <c:v>45932</c:v>
                </c:pt>
                <c:pt idx="150">
                  <c:v>45933</c:v>
                </c:pt>
                <c:pt idx="151">
                  <c:v>45936</c:v>
                </c:pt>
                <c:pt idx="152">
                  <c:v>45937</c:v>
                </c:pt>
                <c:pt idx="153">
                  <c:v>45938</c:v>
                </c:pt>
                <c:pt idx="154">
                  <c:v>45939</c:v>
                </c:pt>
                <c:pt idx="155">
                  <c:v>45940</c:v>
                </c:pt>
                <c:pt idx="156">
                  <c:v>45943</c:v>
                </c:pt>
                <c:pt idx="157">
                  <c:v>45944</c:v>
                </c:pt>
                <c:pt idx="158">
                  <c:v>45945</c:v>
                </c:pt>
                <c:pt idx="159">
                  <c:v>45946</c:v>
                </c:pt>
                <c:pt idx="160">
                  <c:v>45947</c:v>
                </c:pt>
                <c:pt idx="161">
                  <c:v>45950</c:v>
                </c:pt>
                <c:pt idx="162">
                  <c:v>45951</c:v>
                </c:pt>
                <c:pt idx="163">
                  <c:v>45952</c:v>
                </c:pt>
                <c:pt idx="164">
                  <c:v>45953</c:v>
                </c:pt>
                <c:pt idx="165">
                  <c:v>45954</c:v>
                </c:pt>
                <c:pt idx="166">
                  <c:v>45957</c:v>
                </c:pt>
                <c:pt idx="167">
                  <c:v>45958</c:v>
                </c:pt>
                <c:pt idx="168">
                  <c:v>45959</c:v>
                </c:pt>
                <c:pt idx="169">
                  <c:v>45960</c:v>
                </c:pt>
                <c:pt idx="170">
                  <c:v>45961</c:v>
                </c:pt>
                <c:pt idx="171">
                  <c:v>45964</c:v>
                </c:pt>
                <c:pt idx="172">
                  <c:v>45965</c:v>
                </c:pt>
                <c:pt idx="173">
                  <c:v>45966</c:v>
                </c:pt>
                <c:pt idx="174">
                  <c:v>45967</c:v>
                </c:pt>
                <c:pt idx="175">
                  <c:v>45968</c:v>
                </c:pt>
                <c:pt idx="176">
                  <c:v>45971</c:v>
                </c:pt>
                <c:pt idx="177">
                  <c:v>45972</c:v>
                </c:pt>
                <c:pt idx="178">
                  <c:v>45973</c:v>
                </c:pt>
                <c:pt idx="179">
                  <c:v>45974</c:v>
                </c:pt>
                <c:pt idx="180">
                  <c:v>45975</c:v>
                </c:pt>
                <c:pt idx="181">
                  <c:v>45978</c:v>
                </c:pt>
                <c:pt idx="182">
                  <c:v>45979</c:v>
                </c:pt>
                <c:pt idx="183">
                  <c:v>45980</c:v>
                </c:pt>
                <c:pt idx="184">
                  <c:v>45981</c:v>
                </c:pt>
                <c:pt idx="185">
                  <c:v>45982</c:v>
                </c:pt>
                <c:pt idx="186">
                  <c:v>45985</c:v>
                </c:pt>
                <c:pt idx="187">
                  <c:v>45986</c:v>
                </c:pt>
                <c:pt idx="188">
                  <c:v>45987</c:v>
                </c:pt>
                <c:pt idx="189">
                  <c:v>45989</c:v>
                </c:pt>
                <c:pt idx="190">
                  <c:v>45992</c:v>
                </c:pt>
                <c:pt idx="191">
                  <c:v>45993</c:v>
                </c:pt>
                <c:pt idx="192">
                  <c:v>45994</c:v>
                </c:pt>
                <c:pt idx="193">
                  <c:v>45995</c:v>
                </c:pt>
                <c:pt idx="194">
                  <c:v>45996</c:v>
                </c:pt>
                <c:pt idx="195">
                  <c:v>45999</c:v>
                </c:pt>
                <c:pt idx="196">
                  <c:v>46000</c:v>
                </c:pt>
                <c:pt idx="197">
                  <c:v>46001</c:v>
                </c:pt>
                <c:pt idx="198">
                  <c:v>46002</c:v>
                </c:pt>
                <c:pt idx="199">
                  <c:v>46003</c:v>
                </c:pt>
                <c:pt idx="200">
                  <c:v>46006</c:v>
                </c:pt>
                <c:pt idx="201">
                  <c:v>46007</c:v>
                </c:pt>
                <c:pt idx="202">
                  <c:v>46008</c:v>
                </c:pt>
                <c:pt idx="203">
                  <c:v>46009</c:v>
                </c:pt>
                <c:pt idx="204">
                  <c:v>46010</c:v>
                </c:pt>
                <c:pt idx="205">
                  <c:v>46013</c:v>
                </c:pt>
                <c:pt idx="206">
                  <c:v>46014</c:v>
                </c:pt>
                <c:pt idx="207">
                  <c:v>46015</c:v>
                </c:pt>
                <c:pt idx="208">
                  <c:v>46017</c:v>
                </c:pt>
                <c:pt idx="209">
                  <c:v>46020</c:v>
                </c:pt>
                <c:pt idx="210">
                  <c:v>46021</c:v>
                </c:pt>
                <c:pt idx="211">
                  <c:v>46022</c:v>
                </c:pt>
                <c:pt idx="212">
                  <c:v>46024</c:v>
                </c:pt>
                <c:pt idx="213">
                  <c:v>46027</c:v>
                </c:pt>
                <c:pt idx="214">
                  <c:v>46028</c:v>
                </c:pt>
                <c:pt idx="215">
                  <c:v>46029</c:v>
                </c:pt>
                <c:pt idx="216">
                  <c:v>46030</c:v>
                </c:pt>
                <c:pt idx="217">
                  <c:v>46031</c:v>
                </c:pt>
                <c:pt idx="218">
                  <c:v>46034</c:v>
                </c:pt>
                <c:pt idx="219">
                  <c:v>46035</c:v>
                </c:pt>
                <c:pt idx="220">
                  <c:v>46036</c:v>
                </c:pt>
                <c:pt idx="221">
                  <c:v>46037</c:v>
                </c:pt>
                <c:pt idx="222">
                  <c:v>46038</c:v>
                </c:pt>
                <c:pt idx="223">
                  <c:v>46042</c:v>
                </c:pt>
                <c:pt idx="224">
                  <c:v>46043</c:v>
                </c:pt>
                <c:pt idx="225">
                  <c:v>46044</c:v>
                </c:pt>
                <c:pt idx="226">
                  <c:v>46045</c:v>
                </c:pt>
                <c:pt idx="227">
                  <c:v>46048</c:v>
                </c:pt>
                <c:pt idx="228">
                  <c:v>46049</c:v>
                </c:pt>
                <c:pt idx="229">
                  <c:v>46050</c:v>
                </c:pt>
                <c:pt idx="230">
                  <c:v>46051</c:v>
                </c:pt>
                <c:pt idx="231">
                  <c:v>46052</c:v>
                </c:pt>
                <c:pt idx="232">
                  <c:v>46055</c:v>
                </c:pt>
                <c:pt idx="233">
                  <c:v>46056</c:v>
                </c:pt>
                <c:pt idx="234">
                  <c:v>46057</c:v>
                </c:pt>
                <c:pt idx="235">
                  <c:v>46058</c:v>
                </c:pt>
                <c:pt idx="236">
                  <c:v>46059</c:v>
                </c:pt>
                <c:pt idx="237">
                  <c:v>46062</c:v>
                </c:pt>
                <c:pt idx="238">
                  <c:v>46063</c:v>
                </c:pt>
                <c:pt idx="239">
                  <c:v>46064</c:v>
                </c:pt>
                <c:pt idx="240">
                  <c:v>46065</c:v>
                </c:pt>
                <c:pt idx="241">
                  <c:v>46066</c:v>
                </c:pt>
                <c:pt idx="242">
                  <c:v>46070</c:v>
                </c:pt>
                <c:pt idx="243">
                  <c:v>46071</c:v>
                </c:pt>
                <c:pt idx="244">
                  <c:v>46072</c:v>
                </c:pt>
                <c:pt idx="245">
                  <c:v>46073</c:v>
                </c:pt>
                <c:pt idx="246">
                  <c:v>46076</c:v>
                </c:pt>
                <c:pt idx="247">
                  <c:v>46077</c:v>
                </c:pt>
                <c:pt idx="248">
                  <c:v>46078</c:v>
                </c:pt>
                <c:pt idx="249">
                  <c:v>46079</c:v>
                </c:pt>
                <c:pt idx="250">
                  <c:v>46079</c:v>
                </c:pt>
                <c:pt idx="251">
                  <c:v>46081</c:v>
                </c:pt>
              </c:numCache>
            </c:numRef>
          </c:cat>
          <c:val>
            <c:numRef>
              <c:f>'SP5'!$D$2:$D$253</c:f>
              <c:numCache>
                <c:formatCode>_(* #,##0.00_);_(* \(#,##0.00\);_(* "-"??_);_(@_)</c:formatCode>
                <c:ptCount val="252"/>
                <c:pt idx="0">
                  <c:v>5720.0879999999997</c:v>
                </c:pt>
                <c:pt idx="1">
                  <c:v>5723.2295000000004</c:v>
                </c:pt>
                <c:pt idx="2">
                  <c:v>5725.8869000000004</c:v>
                </c:pt>
                <c:pt idx="3">
                  <c:v>5728.5592999999999</c:v>
                </c:pt>
                <c:pt idx="4">
                  <c:v>5730.7664000000004</c:v>
                </c:pt>
                <c:pt idx="5">
                  <c:v>5733.1009999999997</c:v>
                </c:pt>
                <c:pt idx="6">
                  <c:v>5734.6331</c:v>
                </c:pt>
                <c:pt idx="7">
                  <c:v>5735.8864000000003</c:v>
                </c:pt>
                <c:pt idx="8">
                  <c:v>5737.3478999999998</c:v>
                </c:pt>
                <c:pt idx="9">
                  <c:v>5738.6162999999997</c:v>
                </c:pt>
                <c:pt idx="10">
                  <c:v>5740.2874000000002</c:v>
                </c:pt>
                <c:pt idx="11">
                  <c:v>5742.1328000000003</c:v>
                </c:pt>
                <c:pt idx="12">
                  <c:v>5743.8714</c:v>
                </c:pt>
                <c:pt idx="13">
                  <c:v>5746.0703999999996</c:v>
                </c:pt>
                <c:pt idx="14">
                  <c:v>5747.9973</c:v>
                </c:pt>
                <c:pt idx="15">
                  <c:v>5749.9182000000001</c:v>
                </c:pt>
                <c:pt idx="16">
                  <c:v>5752.2992999999997</c:v>
                </c:pt>
                <c:pt idx="17">
                  <c:v>5754.4124000000002</c:v>
                </c:pt>
                <c:pt idx="18">
                  <c:v>5756.2085999999999</c:v>
                </c:pt>
                <c:pt idx="19">
                  <c:v>5757.9403000000002</c:v>
                </c:pt>
                <c:pt idx="20">
                  <c:v>5759.0410000000002</c:v>
                </c:pt>
                <c:pt idx="21">
                  <c:v>5760.2236999999996</c:v>
                </c:pt>
                <c:pt idx="22">
                  <c:v>5761.2839000000004</c:v>
                </c:pt>
                <c:pt idx="23">
                  <c:v>5762.4700999999995</c:v>
                </c:pt>
                <c:pt idx="24">
                  <c:v>5762.2947000000004</c:v>
                </c:pt>
                <c:pt idx="25">
                  <c:v>5760.2988999999998</c:v>
                </c:pt>
                <c:pt idx="26">
                  <c:v>5758.1750000000002</c:v>
                </c:pt>
                <c:pt idx="27">
                  <c:v>5755.723</c:v>
                </c:pt>
                <c:pt idx="28">
                  <c:v>5755.6844000000001</c:v>
                </c:pt>
                <c:pt idx="29">
                  <c:v>5754.7852999999996</c:v>
                </c:pt>
                <c:pt idx="30">
                  <c:v>5754.2556000000004</c:v>
                </c:pt>
                <c:pt idx="31">
                  <c:v>5753.8959000000004</c:v>
                </c:pt>
                <c:pt idx="32">
                  <c:v>5753.4647000000004</c:v>
                </c:pt>
                <c:pt idx="33">
                  <c:v>5752.5407999999998</c:v>
                </c:pt>
                <c:pt idx="34">
                  <c:v>5751.5789000000004</c:v>
                </c:pt>
                <c:pt idx="35">
                  <c:v>5749.8248999999996</c:v>
                </c:pt>
                <c:pt idx="36">
                  <c:v>5748.5785999999998</c:v>
                </c:pt>
                <c:pt idx="37">
                  <c:v>5747.6219000000001</c:v>
                </c:pt>
                <c:pt idx="38">
                  <c:v>5747.1815999999999</c:v>
                </c:pt>
                <c:pt idx="39">
                  <c:v>5746.9227000000001</c:v>
                </c:pt>
                <c:pt idx="40">
                  <c:v>5746.3968000000004</c:v>
                </c:pt>
                <c:pt idx="41">
                  <c:v>5746.2781999999997</c:v>
                </c:pt>
                <c:pt idx="42">
                  <c:v>5746.0468000000001</c:v>
                </c:pt>
                <c:pt idx="43">
                  <c:v>5745.9115000000002</c:v>
                </c:pt>
                <c:pt idx="44">
                  <c:v>5746.0087999999996</c:v>
                </c:pt>
                <c:pt idx="45">
                  <c:v>5746.3194000000003</c:v>
                </c:pt>
                <c:pt idx="46">
                  <c:v>5746.6310000000003</c:v>
                </c:pt>
                <c:pt idx="47">
                  <c:v>5747.2623999999996</c:v>
                </c:pt>
                <c:pt idx="48">
                  <c:v>5747.76</c:v>
                </c:pt>
                <c:pt idx="49">
                  <c:v>5748.2808000000005</c:v>
                </c:pt>
                <c:pt idx="50">
                  <c:v>5750.3661000000002</c:v>
                </c:pt>
                <c:pt idx="51">
                  <c:v>5752.8028000000004</c:v>
                </c:pt>
                <c:pt idx="52">
                  <c:v>5754.9701999999997</c:v>
                </c:pt>
                <c:pt idx="53">
                  <c:v>5757.2371999999996</c:v>
                </c:pt>
                <c:pt idx="54">
                  <c:v>5759.8468000000003</c:v>
                </c:pt>
                <c:pt idx="55">
                  <c:v>5762.0532999999996</c:v>
                </c:pt>
                <c:pt idx="56">
                  <c:v>5764.5222000000003</c:v>
                </c:pt>
                <c:pt idx="57">
                  <c:v>5767.0124999999998</c:v>
                </c:pt>
                <c:pt idx="58">
                  <c:v>5770.2909</c:v>
                </c:pt>
                <c:pt idx="59">
                  <c:v>5773.1048000000001</c:v>
                </c:pt>
                <c:pt idx="60">
                  <c:v>5776.7150000000001</c:v>
                </c:pt>
                <c:pt idx="61">
                  <c:v>5779.5612000000001</c:v>
                </c:pt>
                <c:pt idx="62">
                  <c:v>5782.4013000000004</c:v>
                </c:pt>
                <c:pt idx="63">
                  <c:v>5785.2377999999999</c:v>
                </c:pt>
                <c:pt idx="64">
                  <c:v>5787.7452999999996</c:v>
                </c:pt>
                <c:pt idx="65">
                  <c:v>5790.3211000000001</c:v>
                </c:pt>
                <c:pt idx="66">
                  <c:v>5792.4591</c:v>
                </c:pt>
                <c:pt idx="67">
                  <c:v>5794.3842999999997</c:v>
                </c:pt>
                <c:pt idx="68">
                  <c:v>5796.3449000000001</c:v>
                </c:pt>
                <c:pt idx="69">
                  <c:v>5798.3887000000004</c:v>
                </c:pt>
                <c:pt idx="70">
                  <c:v>5800.4784</c:v>
                </c:pt>
                <c:pt idx="71">
                  <c:v>5802.7363999999998</c:v>
                </c:pt>
                <c:pt idx="72">
                  <c:v>5804.7897000000003</c:v>
                </c:pt>
                <c:pt idx="73">
                  <c:v>5806.5902999999998</c:v>
                </c:pt>
                <c:pt idx="74">
                  <c:v>5808.6268</c:v>
                </c:pt>
                <c:pt idx="75">
                  <c:v>5810.5794999999998</c:v>
                </c:pt>
                <c:pt idx="76">
                  <c:v>5812.5240000000003</c:v>
                </c:pt>
                <c:pt idx="77">
                  <c:v>5814.1212999999998</c:v>
                </c:pt>
                <c:pt idx="78">
                  <c:v>5816.6025</c:v>
                </c:pt>
                <c:pt idx="79">
                  <c:v>5819.4629999999997</c:v>
                </c:pt>
                <c:pt idx="80">
                  <c:v>5822.4067999999997</c:v>
                </c:pt>
                <c:pt idx="81">
                  <c:v>5826.0698000000002</c:v>
                </c:pt>
                <c:pt idx="82">
                  <c:v>5829.5798999999997</c:v>
                </c:pt>
                <c:pt idx="83">
                  <c:v>5833.1270999999997</c:v>
                </c:pt>
                <c:pt idx="84">
                  <c:v>5836.3464000000004</c:v>
                </c:pt>
                <c:pt idx="85">
                  <c:v>5839.5047000000004</c:v>
                </c:pt>
                <c:pt idx="86">
                  <c:v>5842.7713999999996</c:v>
                </c:pt>
                <c:pt idx="87">
                  <c:v>5845.7557999999999</c:v>
                </c:pt>
                <c:pt idx="88">
                  <c:v>5848.7105000000001</c:v>
                </c:pt>
                <c:pt idx="89">
                  <c:v>5851.9355999999998</c:v>
                </c:pt>
                <c:pt idx="90">
                  <c:v>5854.7696999999998</c:v>
                </c:pt>
                <c:pt idx="91">
                  <c:v>5857.5555999999997</c:v>
                </c:pt>
                <c:pt idx="92">
                  <c:v>5860.3055999999997</c:v>
                </c:pt>
                <c:pt idx="93">
                  <c:v>5862.8598000000002</c:v>
                </c:pt>
                <c:pt idx="94">
                  <c:v>5865.5668999999998</c:v>
                </c:pt>
                <c:pt idx="95">
                  <c:v>5868.3269</c:v>
                </c:pt>
                <c:pt idx="96">
                  <c:v>5871.12</c:v>
                </c:pt>
                <c:pt idx="97">
                  <c:v>5873.8355000000001</c:v>
                </c:pt>
                <c:pt idx="98">
                  <c:v>5876.8398999999999</c:v>
                </c:pt>
                <c:pt idx="99">
                  <c:v>5880.0868</c:v>
                </c:pt>
                <c:pt idx="100">
                  <c:v>5883.4038</c:v>
                </c:pt>
                <c:pt idx="101">
                  <c:v>5886.5916999999999</c:v>
                </c:pt>
                <c:pt idx="102">
                  <c:v>5890.0608000000002</c:v>
                </c:pt>
                <c:pt idx="103">
                  <c:v>5893.1593999999996</c:v>
                </c:pt>
                <c:pt idx="104">
                  <c:v>5896.0137000000004</c:v>
                </c:pt>
                <c:pt idx="105">
                  <c:v>5898.8104999999996</c:v>
                </c:pt>
                <c:pt idx="106">
                  <c:v>5900.9252999999999</c:v>
                </c:pt>
                <c:pt idx="107">
                  <c:v>5903.2758000000003</c:v>
                </c:pt>
                <c:pt idx="108">
                  <c:v>5905.6953999999996</c:v>
                </c:pt>
                <c:pt idx="109">
                  <c:v>5908.2084000000004</c:v>
                </c:pt>
                <c:pt idx="110">
                  <c:v>5910.701</c:v>
                </c:pt>
                <c:pt idx="111">
                  <c:v>5913.3248999999996</c:v>
                </c:pt>
                <c:pt idx="112">
                  <c:v>5915.9222</c:v>
                </c:pt>
                <c:pt idx="113">
                  <c:v>5918.8950000000004</c:v>
                </c:pt>
                <c:pt idx="114">
                  <c:v>5922.2407999999996</c:v>
                </c:pt>
                <c:pt idx="115">
                  <c:v>5925.5342000000001</c:v>
                </c:pt>
                <c:pt idx="116">
                  <c:v>5928.7425999999996</c:v>
                </c:pt>
                <c:pt idx="117">
                  <c:v>5931.8707999999997</c:v>
                </c:pt>
                <c:pt idx="118">
                  <c:v>5934.7631000000001</c:v>
                </c:pt>
                <c:pt idx="119">
                  <c:v>5937.6736000000001</c:v>
                </c:pt>
                <c:pt idx="120">
                  <c:v>5940.9971999999998</c:v>
                </c:pt>
                <c:pt idx="121">
                  <c:v>5944.6877999999997</c:v>
                </c:pt>
                <c:pt idx="122">
                  <c:v>5948.3209999999999</c:v>
                </c:pt>
                <c:pt idx="123">
                  <c:v>5951.7368999999999</c:v>
                </c:pt>
                <c:pt idx="124">
                  <c:v>5954.4987000000001</c:v>
                </c:pt>
                <c:pt idx="125">
                  <c:v>5957.1423999999997</c:v>
                </c:pt>
                <c:pt idx="126">
                  <c:v>5959.4660999999996</c:v>
                </c:pt>
                <c:pt idx="127">
                  <c:v>5961.5370000000003</c:v>
                </c:pt>
                <c:pt idx="128">
                  <c:v>5963.8584000000001</c:v>
                </c:pt>
                <c:pt idx="129">
                  <c:v>5966.4418999999998</c:v>
                </c:pt>
                <c:pt idx="130">
                  <c:v>5969.1035000000002</c:v>
                </c:pt>
                <c:pt idx="131">
                  <c:v>5972.2262000000001</c:v>
                </c:pt>
                <c:pt idx="132">
                  <c:v>5975.3212000000003</c:v>
                </c:pt>
                <c:pt idx="133">
                  <c:v>5978.3964999999998</c:v>
                </c:pt>
                <c:pt idx="134">
                  <c:v>5981.7483000000002</c:v>
                </c:pt>
                <c:pt idx="135">
                  <c:v>5984.9261999999999</c:v>
                </c:pt>
                <c:pt idx="136">
                  <c:v>5988.1558000000005</c:v>
                </c:pt>
                <c:pt idx="137">
                  <c:v>5991.2528000000002</c:v>
                </c:pt>
                <c:pt idx="138">
                  <c:v>5994.1463999999996</c:v>
                </c:pt>
                <c:pt idx="139">
                  <c:v>5997.3125</c:v>
                </c:pt>
                <c:pt idx="140">
                  <c:v>6000.4723999999997</c:v>
                </c:pt>
                <c:pt idx="141">
                  <c:v>6003.7053999999998</c:v>
                </c:pt>
                <c:pt idx="142">
                  <c:v>6006.7406000000001</c:v>
                </c:pt>
                <c:pt idx="143">
                  <c:v>6009.4980999999998</c:v>
                </c:pt>
                <c:pt idx="144">
                  <c:v>6012.1460999999999</c:v>
                </c:pt>
                <c:pt idx="145">
                  <c:v>6014.9132</c:v>
                </c:pt>
                <c:pt idx="146">
                  <c:v>6017.9549999999999</c:v>
                </c:pt>
                <c:pt idx="147">
                  <c:v>6021.2227999999996</c:v>
                </c:pt>
                <c:pt idx="148">
                  <c:v>6024.3577999999998</c:v>
                </c:pt>
                <c:pt idx="149">
                  <c:v>6027.6782999999996</c:v>
                </c:pt>
                <c:pt idx="150">
                  <c:v>6031.0018</c:v>
                </c:pt>
                <c:pt idx="151">
                  <c:v>6034.3328000000001</c:v>
                </c:pt>
                <c:pt idx="152">
                  <c:v>6037.6526999999996</c:v>
                </c:pt>
                <c:pt idx="153">
                  <c:v>6042.0604999999996</c:v>
                </c:pt>
                <c:pt idx="154">
                  <c:v>6046.4007000000001</c:v>
                </c:pt>
                <c:pt idx="155">
                  <c:v>6049.509</c:v>
                </c:pt>
                <c:pt idx="156">
                  <c:v>6052.9121999999998</c:v>
                </c:pt>
                <c:pt idx="157">
                  <c:v>6055.9336000000003</c:v>
                </c:pt>
                <c:pt idx="158">
                  <c:v>6059.1009000000004</c:v>
                </c:pt>
                <c:pt idx="159">
                  <c:v>6062.3921</c:v>
                </c:pt>
                <c:pt idx="160">
                  <c:v>6066.1774999999998</c:v>
                </c:pt>
                <c:pt idx="161">
                  <c:v>6070.4449999999997</c:v>
                </c:pt>
                <c:pt idx="162">
                  <c:v>6074.7790000000005</c:v>
                </c:pt>
                <c:pt idx="163">
                  <c:v>6078.5636000000004</c:v>
                </c:pt>
                <c:pt idx="164">
                  <c:v>6082.3788999999997</c:v>
                </c:pt>
                <c:pt idx="165">
                  <c:v>6086.7921999999999</c:v>
                </c:pt>
                <c:pt idx="166">
                  <c:v>6091.5767999999998</c:v>
                </c:pt>
                <c:pt idx="167">
                  <c:v>6096.8959999999997</c:v>
                </c:pt>
                <c:pt idx="168">
                  <c:v>6102.1678000000002</c:v>
                </c:pt>
                <c:pt idx="169">
                  <c:v>6107.0649999999996</c:v>
                </c:pt>
                <c:pt idx="170">
                  <c:v>6111.5164000000004</c:v>
                </c:pt>
                <c:pt idx="171">
                  <c:v>6116.0896000000002</c:v>
                </c:pt>
                <c:pt idx="172">
                  <c:v>6119.9639999999999</c:v>
                </c:pt>
                <c:pt idx="173">
                  <c:v>6123.6992</c:v>
                </c:pt>
                <c:pt idx="174">
                  <c:v>6126.8689999999997</c:v>
                </c:pt>
                <c:pt idx="175">
                  <c:v>6129.9193999999998</c:v>
                </c:pt>
                <c:pt idx="176">
                  <c:v>6133.5753999999997</c:v>
                </c:pt>
                <c:pt idx="177">
                  <c:v>6137.7470999999996</c:v>
                </c:pt>
                <c:pt idx="178">
                  <c:v>6141.6630999999998</c:v>
                </c:pt>
                <c:pt idx="179">
                  <c:v>6145.1540000000005</c:v>
                </c:pt>
                <c:pt idx="180">
                  <c:v>6148.4687000000004</c:v>
                </c:pt>
                <c:pt idx="181">
                  <c:v>6151.6280999999999</c:v>
                </c:pt>
                <c:pt idx="182">
                  <c:v>6154.7419</c:v>
                </c:pt>
                <c:pt idx="183">
                  <c:v>6157.7632999999996</c:v>
                </c:pt>
                <c:pt idx="184">
                  <c:v>6160.1496999999999</c:v>
                </c:pt>
                <c:pt idx="185">
                  <c:v>6162.7467999999999</c:v>
                </c:pt>
                <c:pt idx="186">
                  <c:v>6166.1423999999997</c:v>
                </c:pt>
                <c:pt idx="187">
                  <c:v>6169.6396000000004</c:v>
                </c:pt>
                <c:pt idx="188">
                  <c:v>6173.3600999999999</c:v>
                </c:pt>
                <c:pt idx="189">
                  <c:v>6177.3456999999999</c:v>
                </c:pt>
                <c:pt idx="190">
                  <c:v>6180.8334999999997</c:v>
                </c:pt>
                <c:pt idx="191">
                  <c:v>6184.4071999999996</c:v>
                </c:pt>
                <c:pt idx="192">
                  <c:v>6188.0078999999996</c:v>
                </c:pt>
                <c:pt idx="193">
                  <c:v>6191.5726999999997</c:v>
                </c:pt>
                <c:pt idx="194">
                  <c:v>6195.3371999999999</c:v>
                </c:pt>
                <c:pt idx="195">
                  <c:v>6199.5041000000001</c:v>
                </c:pt>
                <c:pt idx="196">
                  <c:v>6203.7903999999999</c:v>
                </c:pt>
                <c:pt idx="197">
                  <c:v>6208.4475000000002</c:v>
                </c:pt>
                <c:pt idx="198">
                  <c:v>6213.1722</c:v>
                </c:pt>
                <c:pt idx="199">
                  <c:v>6218.0014000000001</c:v>
                </c:pt>
                <c:pt idx="200">
                  <c:v>6222.3113999999996</c:v>
                </c:pt>
                <c:pt idx="201">
                  <c:v>6227.0640999999996</c:v>
                </c:pt>
                <c:pt idx="202">
                  <c:v>6231.7804999999998</c:v>
                </c:pt>
                <c:pt idx="203">
                  <c:v>6236.4411</c:v>
                </c:pt>
                <c:pt idx="204">
                  <c:v>6241.9210000000003</c:v>
                </c:pt>
                <c:pt idx="205">
                  <c:v>6247.4624999999996</c:v>
                </c:pt>
                <c:pt idx="206">
                  <c:v>6253.9386000000004</c:v>
                </c:pt>
                <c:pt idx="207">
                  <c:v>6260.7385000000004</c:v>
                </c:pt>
                <c:pt idx="208">
                  <c:v>6267.3917000000001</c:v>
                </c:pt>
                <c:pt idx="209">
                  <c:v>6274.3128999999999</c:v>
                </c:pt>
                <c:pt idx="210">
                  <c:v>6280.5994000000001</c:v>
                </c:pt>
                <c:pt idx="211">
                  <c:v>6286.4512999999997</c:v>
                </c:pt>
                <c:pt idx="212">
                  <c:v>6292.6702999999998</c:v>
                </c:pt>
                <c:pt idx="213">
                  <c:v>6298.8041999999996</c:v>
                </c:pt>
                <c:pt idx="214">
                  <c:v>6305.2138000000004</c:v>
                </c:pt>
                <c:pt idx="215">
                  <c:v>6311.4805999999999</c:v>
                </c:pt>
                <c:pt idx="216">
                  <c:v>6317.2501000000002</c:v>
                </c:pt>
                <c:pt idx="217">
                  <c:v>6323.1981999999998</c:v>
                </c:pt>
                <c:pt idx="218">
                  <c:v>6329.5236000000004</c:v>
                </c:pt>
                <c:pt idx="219">
                  <c:v>6335.8756999999996</c:v>
                </c:pt>
                <c:pt idx="220">
                  <c:v>6342.6039000000001</c:v>
                </c:pt>
                <c:pt idx="221">
                  <c:v>6349.2669999999998</c:v>
                </c:pt>
                <c:pt idx="222">
                  <c:v>6355.8017</c:v>
                </c:pt>
                <c:pt idx="223">
                  <c:v>6361.4312</c:v>
                </c:pt>
                <c:pt idx="224">
                  <c:v>6368.8266999999996</c:v>
                </c:pt>
                <c:pt idx="225">
                  <c:v>6378.0230000000001</c:v>
                </c:pt>
                <c:pt idx="226">
                  <c:v>6387.2898999999998</c:v>
                </c:pt>
                <c:pt idx="227">
                  <c:v>6397.1271999999999</c:v>
                </c:pt>
                <c:pt idx="228">
                  <c:v>6404.7357000000002</c:v>
                </c:pt>
                <c:pt idx="229">
                  <c:v>6413.2855</c:v>
                </c:pt>
                <c:pt idx="230">
                  <c:v>6421.3137999999999</c:v>
                </c:pt>
                <c:pt idx="231">
                  <c:v>6428.9790999999996</c:v>
                </c:pt>
                <c:pt idx="232">
                  <c:v>6436.8780999999999</c:v>
                </c:pt>
                <c:pt idx="233">
                  <c:v>6445.0887000000002</c:v>
                </c:pt>
                <c:pt idx="234">
                  <c:v>6453.0888000000004</c:v>
                </c:pt>
                <c:pt idx="235">
                  <c:v>6461.2897000000003</c:v>
                </c:pt>
                <c:pt idx="236">
                  <c:v>6469.5123999999996</c:v>
                </c:pt>
                <c:pt idx="237">
                  <c:v>6477.4571999999998</c:v>
                </c:pt>
                <c:pt idx="238">
                  <c:v>6484.7424000000001</c:v>
                </c:pt>
                <c:pt idx="239">
                  <c:v>6491.8236999999999</c:v>
                </c:pt>
                <c:pt idx="240">
                  <c:v>6498.3437999999996</c:v>
                </c:pt>
                <c:pt idx="241">
                  <c:v>6504.7205000000004</c:v>
                </c:pt>
                <c:pt idx="242">
                  <c:v>6511.0913</c:v>
                </c:pt>
                <c:pt idx="243">
                  <c:v>6517.4772000000003</c:v>
                </c:pt>
                <c:pt idx="244">
                  <c:v>6523.3532999999998</c:v>
                </c:pt>
                <c:pt idx="245">
                  <c:v>6529.6489000000001</c:v>
                </c:pt>
                <c:pt idx="246">
                  <c:v>6535.8031000000001</c:v>
                </c:pt>
                <c:pt idx="247">
                  <c:v>6542.0971</c:v>
                </c:pt>
                <c:pt idx="248">
                  <c:v>6548.5079999999998</c:v>
                </c:pt>
                <c:pt idx="249">
                  <c:v>6554.7528000000002</c:v>
                </c:pt>
                <c:pt idx="250">
                  <c:v>6554.7528000000002</c:v>
                </c:pt>
                <c:pt idx="251">
                  <c:v>6559.9261999999999</c:v>
                </c:pt>
              </c:numCache>
            </c:numRef>
          </c:val>
          <c:smooth val="0"/>
          <c:extLst>
            <c:ext xmlns:c16="http://schemas.microsoft.com/office/drawing/2014/chart" uri="{C3380CC4-5D6E-409C-BE32-E72D297353CC}">
              <c16:uniqueId val="{00000002-C7EB-407E-9C7C-0CF6A3914536}"/>
            </c:ext>
          </c:extLst>
        </c:ser>
        <c:dLbls>
          <c:showLegendKey val="0"/>
          <c:showVal val="0"/>
          <c:showCatName val="0"/>
          <c:showSerName val="0"/>
          <c:showPercent val="0"/>
          <c:showBubbleSize val="0"/>
        </c:dLbls>
        <c:smooth val="0"/>
        <c:axId val="96586751"/>
        <c:axId val="96597791"/>
      </c:lineChart>
      <c:dateAx>
        <c:axId val="96586751"/>
        <c:scaling>
          <c:orientation val="minMax"/>
        </c:scaling>
        <c:delete val="0"/>
        <c:axPos val="b"/>
        <c:numFmt formatCode="m/d/yyyy"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6597791"/>
        <c:crosses val="autoZero"/>
        <c:auto val="1"/>
        <c:lblOffset val="100"/>
        <c:baseTimeUnit val="days"/>
      </c:dateAx>
      <c:valAx>
        <c:axId val="96597791"/>
        <c:scaling>
          <c:orientation val="minMax"/>
          <c:min val="4750"/>
        </c:scaling>
        <c:delete val="0"/>
        <c:axPos val="l"/>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6586751"/>
        <c:crosses val="autoZero"/>
        <c:crossBetween val="between"/>
        <c:majorUnit val="250"/>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Calibri" panose="020F0502020204030204" pitchFamily="34" charset="0"/>
                <a:ea typeface="Calibri" panose="020F0502020204030204" pitchFamily="34" charset="0"/>
                <a:cs typeface="Calibri" panose="020F0502020204030204" pitchFamily="34" charset="0"/>
              </a:defRPr>
            </a:pPr>
            <a:r>
              <a:rPr lang="en-US" sz="1200" b="1">
                <a:latin typeface="Calibri" panose="020F0502020204030204" pitchFamily="34" charset="0"/>
                <a:ea typeface="Calibri" panose="020F0502020204030204" pitchFamily="34" charset="0"/>
                <a:cs typeface="Calibri" panose="020F0502020204030204" pitchFamily="34" charset="0"/>
              </a:rPr>
              <a:t>Federal Tax Refunds - Billions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Calibri" panose="020F0502020204030204" pitchFamily="34" charset="0"/>
              <a:ea typeface="Calibri" panose="020F0502020204030204" pitchFamily="34" charset="0"/>
              <a:cs typeface="Calibri" panose="020F0502020204030204" pitchFamily="34" charset="0"/>
            </a:defRPr>
          </a:pPr>
          <a:endParaRPr lang="en-US"/>
        </a:p>
      </c:txPr>
    </c:title>
    <c:autoTitleDeleted val="0"/>
    <c:plotArea>
      <c:layout/>
      <c:barChart>
        <c:barDir val="col"/>
        <c:grouping val="clustered"/>
        <c:varyColors val="0"/>
        <c:ser>
          <c:idx val="0"/>
          <c:order val="0"/>
          <c:tx>
            <c:strRef>
              <c:f>'https://d.docs.live.net/76f493a74be29dd2/Documents/[Policy - 2026 Charts.xlsx]Tax Refunds'!$C$4</c:f>
              <c:strCache>
                <c:ptCount val="1"/>
                <c:pt idx="0">
                  <c:v>Actual</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'https://d.docs.live.net/76f493a74be29dd2/Documents/[Policy - 2026 Charts.xlsx]Tax Refunds'!$B$5:$B$9</c:f>
              <c:numCache>
                <c:formatCode>General</c:formatCode>
                <c:ptCount val="5"/>
                <c:pt idx="0">
                  <c:v>2022</c:v>
                </c:pt>
                <c:pt idx="1">
                  <c:v>2023</c:v>
                </c:pt>
                <c:pt idx="2">
                  <c:v>2024</c:v>
                </c:pt>
                <c:pt idx="3">
                  <c:v>2025</c:v>
                </c:pt>
                <c:pt idx="4">
                  <c:v>2026</c:v>
                </c:pt>
              </c:numCache>
            </c:numRef>
          </c:cat>
          <c:val>
            <c:numRef>
              <c:f>'https://d.docs.live.net/76f493a74be29dd2/Documents/[Policy - 2026 Charts.xlsx]Tax Refunds'!$C$5:$C$9</c:f>
              <c:numCache>
                <c:formatCode>General</c:formatCode>
                <c:ptCount val="5"/>
                <c:pt idx="0">
                  <c:v>429.1</c:v>
                </c:pt>
                <c:pt idx="1">
                  <c:v>364</c:v>
                </c:pt>
                <c:pt idx="2">
                  <c:v>362.3</c:v>
                </c:pt>
                <c:pt idx="3">
                  <c:v>359.3</c:v>
                </c:pt>
              </c:numCache>
            </c:numRef>
          </c:val>
          <c:extLst>
            <c:ext xmlns:c16="http://schemas.microsoft.com/office/drawing/2014/chart" uri="{C3380CC4-5D6E-409C-BE32-E72D297353CC}">
              <c16:uniqueId val="{00000000-4401-439F-B8DE-5619F238D76F}"/>
            </c:ext>
          </c:extLst>
        </c:ser>
        <c:ser>
          <c:idx val="1"/>
          <c:order val="1"/>
          <c:tx>
            <c:strRef>
              <c:f>'https://d.docs.live.net/76f493a74be29dd2/Documents/[Policy - 2026 Charts.xlsx]Tax Refunds'!$D$4</c:f>
              <c:strCache>
                <c:ptCount val="1"/>
                <c:pt idx="0">
                  <c:v>Forecast</c:v>
                </c:pt>
              </c:strCache>
            </c:strRef>
          </c:tx>
          <c:spPr>
            <a:solidFill>
              <a:srgbClr val="C0000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'https://d.docs.live.net/76f493a74be29dd2/Documents/[Policy - 2026 Charts.xlsx]Tax Refunds'!$B$5:$B$9</c:f>
              <c:numCache>
                <c:formatCode>General</c:formatCode>
                <c:ptCount val="5"/>
                <c:pt idx="0">
                  <c:v>2022</c:v>
                </c:pt>
                <c:pt idx="1">
                  <c:v>2023</c:v>
                </c:pt>
                <c:pt idx="2">
                  <c:v>2024</c:v>
                </c:pt>
                <c:pt idx="3">
                  <c:v>2025</c:v>
                </c:pt>
                <c:pt idx="4">
                  <c:v>2026</c:v>
                </c:pt>
              </c:numCache>
            </c:numRef>
          </c:cat>
          <c:val>
            <c:numRef>
              <c:f>'https://d.docs.live.net/76f493a74be29dd2/Documents/[Policy - 2026 Charts.xlsx]Tax Refunds'!$D$5:$D$9</c:f>
              <c:numCache>
                <c:formatCode>General</c:formatCode>
                <c:ptCount val="5"/>
                <c:pt idx="4">
                  <c:v>517.29999999999995</c:v>
                </c:pt>
              </c:numCache>
            </c:numRef>
          </c:val>
          <c:extLst>
            <c:ext xmlns:c16="http://schemas.microsoft.com/office/drawing/2014/chart" uri="{C3380CC4-5D6E-409C-BE32-E72D297353CC}">
              <c16:uniqueId val="{00000001-4401-439F-B8DE-5619F238D76F}"/>
            </c:ext>
          </c:extLst>
        </c:ser>
        <c:dLbls>
          <c:showLegendKey val="0"/>
          <c:showVal val="0"/>
          <c:showCatName val="0"/>
          <c:showSerName val="0"/>
          <c:showPercent val="0"/>
          <c:showBubbleSize val="0"/>
        </c:dLbls>
        <c:gapWidth val="219"/>
        <c:overlap val="-27"/>
        <c:axId val="1553445007"/>
        <c:axId val="1553445487"/>
      </c:barChart>
      <c:catAx>
        <c:axId val="155344500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53445487"/>
        <c:crosses val="autoZero"/>
        <c:auto val="1"/>
        <c:lblAlgn val="ctr"/>
        <c:lblOffset val="100"/>
        <c:noMultiLvlLbl val="0"/>
      </c:catAx>
      <c:valAx>
        <c:axId val="155344548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5344500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41</TotalTime>
  <Pages>6</Pages>
  <Words>1141</Words>
  <Characters>6131</Characters>
  <Application>Microsoft Office Word</Application>
  <DocSecurity>0</DocSecurity>
  <Lines>120</Lines>
  <Paragraphs>47</Paragraphs>
  <ScaleCrop>false</ScaleCrop>
  <HeadingPairs>
    <vt:vector size="2" baseType="variant">
      <vt:variant>
        <vt:lpstr>Title</vt:lpstr>
      </vt:variant>
      <vt:variant>
        <vt:i4>1</vt:i4>
      </vt:variant>
    </vt:vector>
  </HeadingPairs>
  <TitlesOfParts>
    <vt:vector size="1" baseType="lpstr">
      <vt:lpstr>Template1_topright.docx</vt:lpstr>
    </vt:vector>
  </TitlesOfParts>
  <Company/>
  <LinksUpToDate>false</LinksUpToDate>
  <CharactersWithSpaces>7225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Template1_topright.docx</dc:title>
  <dc:creator>Apache POI</dc:creator>
  <cp:lastModifiedBy>John Lynch</cp:lastModifiedBy>
  <cp:revision>3</cp:revision>
  <cp:lastPrinted>2026-04-02T19:51:00Z</cp:lastPrinted>
  <dcterms:created xsi:type="dcterms:W3CDTF">2026-04-02T18:48:00Z</dcterms:created>
  <dcterms:modified xsi:type="dcterms:W3CDTF">2026-04-02T19:52:00Z</dcterms:modified>
</cp:coreProperties>
</file>